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226" w:rsidRPr="00E963DD" w:rsidRDefault="00884DCB" w:rsidP="000B3226">
      <w:pPr>
        <w:pStyle w:val="NormalWeb"/>
        <w:jc w:val="center"/>
        <w:rPr>
          <w:rFonts w:ascii="Tahoma" w:hAnsi="Tahoma" w:cs="Tahoma"/>
          <w:b/>
        </w:rPr>
      </w:pPr>
      <w:r>
        <w:rPr>
          <w:rFonts w:ascii="Tahoma" w:hAnsi="Tahoma" w:cs="Tahoma"/>
          <w:b/>
        </w:rPr>
        <w:t xml:space="preserve">CASO ODEBRECHT: </w:t>
      </w:r>
      <w:r w:rsidR="000B3226" w:rsidRPr="00E963DD">
        <w:rPr>
          <w:rFonts w:ascii="Tahoma" w:hAnsi="Tahoma" w:cs="Tahoma"/>
          <w:b/>
        </w:rPr>
        <w:t>METODOLOGÍA PARA LA DETERMINACIÓN DEL</w:t>
      </w:r>
      <w:r w:rsidR="000B3226" w:rsidRPr="00E963DD">
        <w:rPr>
          <w:rFonts w:ascii="Tahoma" w:hAnsi="Tahoma" w:cs="Tahoma"/>
          <w:b/>
          <w:i/>
        </w:rPr>
        <w:t xml:space="preserve"> QUANTUM</w:t>
      </w:r>
      <w:r w:rsidR="000B3226" w:rsidRPr="00E963DD">
        <w:rPr>
          <w:rFonts w:ascii="Tahoma" w:hAnsi="Tahoma" w:cs="Tahoma"/>
          <w:b/>
        </w:rPr>
        <w:t xml:space="preserve"> </w:t>
      </w:r>
      <w:r w:rsidR="002E53A7">
        <w:rPr>
          <w:rFonts w:ascii="Tahoma" w:hAnsi="Tahoma" w:cs="Tahoma"/>
          <w:b/>
        </w:rPr>
        <w:t xml:space="preserve">DE </w:t>
      </w:r>
      <w:r w:rsidR="000B3226" w:rsidRPr="00E963DD">
        <w:rPr>
          <w:rFonts w:ascii="Tahoma" w:hAnsi="Tahoma" w:cs="Tahoma"/>
          <w:b/>
        </w:rPr>
        <w:t xml:space="preserve">LA REPARACIÓN CIVIL </w:t>
      </w:r>
      <w:r w:rsidR="002E53A7">
        <w:rPr>
          <w:rFonts w:ascii="Tahoma" w:hAnsi="Tahoma" w:cs="Tahoma"/>
          <w:b/>
        </w:rPr>
        <w:t xml:space="preserve">EN CASOS DE CORRUPCION EN OBRAS PÚBLICAS, </w:t>
      </w:r>
      <w:r w:rsidR="000B3226" w:rsidRPr="00E963DD">
        <w:rPr>
          <w:rFonts w:ascii="Tahoma" w:hAnsi="Tahoma" w:cs="Tahoma"/>
          <w:b/>
        </w:rPr>
        <w:t>EN EL MARCO DE</w:t>
      </w:r>
      <w:r w:rsidR="00867B1C">
        <w:rPr>
          <w:rFonts w:ascii="Tahoma" w:hAnsi="Tahoma" w:cs="Tahoma"/>
          <w:b/>
        </w:rPr>
        <w:t xml:space="preserve"> UN PROCESO DE</w:t>
      </w:r>
      <w:r w:rsidR="000B3226" w:rsidRPr="00E963DD">
        <w:rPr>
          <w:rFonts w:ascii="Tahoma" w:hAnsi="Tahoma" w:cs="Tahoma"/>
          <w:b/>
        </w:rPr>
        <w:t xml:space="preserve"> COLABORACIÓN EFICAZ </w:t>
      </w:r>
      <w:r>
        <w:rPr>
          <w:rFonts w:ascii="Tahoma" w:hAnsi="Tahoma" w:cs="Tahoma"/>
          <w:b/>
        </w:rPr>
        <w:t xml:space="preserve"> </w:t>
      </w:r>
      <w:bookmarkStart w:id="0" w:name="_GoBack"/>
      <w:bookmarkEnd w:id="0"/>
    </w:p>
    <w:p w:rsidR="0008542B" w:rsidRDefault="0008542B" w:rsidP="0008542B">
      <w:pPr>
        <w:pStyle w:val="NormalWeb"/>
        <w:spacing w:line="276" w:lineRule="auto"/>
        <w:ind w:left="360"/>
        <w:jc w:val="both"/>
        <w:rPr>
          <w:rFonts w:ascii="Tahoma" w:hAnsi="Tahoma" w:cs="Tahoma"/>
        </w:rPr>
      </w:pPr>
      <w:r>
        <w:rPr>
          <w:rFonts w:ascii="Tahoma" w:hAnsi="Tahoma" w:cs="Tahoma"/>
        </w:rPr>
        <w:t>El caso del acuerdo suscrito entre Odebrecht S.A. y República Dominicana puede servir de ejemplo para justificar porque no</w:t>
      </w:r>
      <w:r w:rsidRPr="0008542B">
        <w:rPr>
          <w:rFonts w:ascii="Tahoma" w:hAnsi="Tahoma" w:cs="Tahoma"/>
        </w:rPr>
        <w:t xml:space="preserve"> </w:t>
      </w:r>
      <w:r w:rsidRPr="00E963DD">
        <w:rPr>
          <w:rFonts w:ascii="Tahoma" w:hAnsi="Tahoma" w:cs="Tahoma"/>
        </w:rPr>
        <w:t>resulta viable considerar el monto de las sumas indebidamente pagadas (</w:t>
      </w:r>
      <w:r w:rsidRPr="00927833">
        <w:rPr>
          <w:rFonts w:ascii="Tahoma" w:hAnsi="Tahoma" w:cs="Tahoma"/>
          <w:b/>
        </w:rPr>
        <w:t>coimas</w:t>
      </w:r>
      <w:r w:rsidRPr="00E963DD">
        <w:rPr>
          <w:rFonts w:ascii="Tahoma" w:hAnsi="Tahoma" w:cs="Tahoma"/>
        </w:rPr>
        <w:t>) como un parámetro útil a efectos determinar un monto</w:t>
      </w:r>
      <w:r w:rsidR="00710FC4">
        <w:rPr>
          <w:rFonts w:ascii="Tahoma" w:hAnsi="Tahoma" w:cs="Tahoma"/>
        </w:rPr>
        <w:t xml:space="preserve"> como reparación civil</w:t>
      </w:r>
      <w:r w:rsidRPr="00E963DD">
        <w:rPr>
          <w:rFonts w:ascii="Tahoma" w:hAnsi="Tahoma" w:cs="Tahoma"/>
        </w:rPr>
        <w:t xml:space="preserve"> en el marco de los procesos por colaboración eficaz.</w:t>
      </w:r>
      <w:r>
        <w:rPr>
          <w:rFonts w:ascii="Tahoma" w:hAnsi="Tahoma" w:cs="Tahoma"/>
        </w:rPr>
        <w:t xml:space="preserve"> Más allá del monto </w:t>
      </w:r>
      <w:r w:rsidR="003A5691">
        <w:rPr>
          <w:rFonts w:ascii="Tahoma" w:hAnsi="Tahoma" w:cs="Tahoma"/>
        </w:rPr>
        <w:t xml:space="preserve">preliminar </w:t>
      </w:r>
      <w:r>
        <w:rPr>
          <w:rFonts w:ascii="Tahoma" w:hAnsi="Tahoma" w:cs="Tahoma"/>
        </w:rPr>
        <w:t xml:space="preserve">que determine la </w:t>
      </w:r>
      <w:r w:rsidR="00710FC4">
        <w:rPr>
          <w:rFonts w:ascii="Tahoma" w:hAnsi="Tahoma" w:cs="Tahoma"/>
        </w:rPr>
        <w:t>Procuraduría</w:t>
      </w:r>
      <w:r>
        <w:rPr>
          <w:rFonts w:ascii="Tahoma" w:hAnsi="Tahoma" w:cs="Tahoma"/>
        </w:rPr>
        <w:t xml:space="preserve"> como </w:t>
      </w:r>
      <w:r w:rsidR="00710FC4">
        <w:rPr>
          <w:rFonts w:ascii="Tahoma" w:hAnsi="Tahoma" w:cs="Tahoma"/>
        </w:rPr>
        <w:t>reparación</w:t>
      </w:r>
      <w:r>
        <w:rPr>
          <w:rFonts w:ascii="Tahoma" w:hAnsi="Tahoma" w:cs="Tahoma"/>
        </w:rPr>
        <w:t xml:space="preserve"> civil a favor el Estado</w:t>
      </w:r>
      <w:r w:rsidR="003A5691">
        <w:rPr>
          <w:rFonts w:ascii="Tahoma" w:hAnsi="Tahoma" w:cs="Tahoma"/>
        </w:rPr>
        <w:t xml:space="preserve"> (el 28 de enero de 2018 el actual Procurador Ad Hoc del Caso Lava Jato ha determinado </w:t>
      </w:r>
      <w:r w:rsidR="002E53A7">
        <w:rPr>
          <w:rFonts w:ascii="Tahoma" w:hAnsi="Tahoma" w:cs="Tahoma"/>
        </w:rPr>
        <w:t xml:space="preserve">como monto preliminar </w:t>
      </w:r>
      <w:r w:rsidR="003A5691">
        <w:rPr>
          <w:rFonts w:ascii="Tahoma" w:hAnsi="Tahoma" w:cs="Tahoma"/>
        </w:rPr>
        <w:t>3,468.000 millones</w:t>
      </w:r>
      <w:r w:rsidR="00E5713C">
        <w:rPr>
          <w:rFonts w:ascii="Tahoma" w:hAnsi="Tahoma" w:cs="Tahoma"/>
        </w:rPr>
        <w:t xml:space="preserve"> de soles</w:t>
      </w:r>
      <w:r w:rsidR="003A5691">
        <w:rPr>
          <w:rFonts w:ascii="Tahoma" w:hAnsi="Tahoma" w:cs="Tahoma"/>
        </w:rPr>
        <w:t>, como reparación civil por tres obras, tal como lo declaró en un medio de comunicación</w:t>
      </w:r>
      <w:r w:rsidR="002E53A7">
        <w:rPr>
          <w:rFonts w:ascii="Tahoma" w:hAnsi="Tahoma" w:cs="Tahoma"/>
        </w:rPr>
        <w:t>;</w:t>
      </w:r>
      <w:r w:rsidR="00E5713C">
        <w:rPr>
          <w:rFonts w:ascii="Tahoma" w:hAnsi="Tahoma" w:cs="Tahoma"/>
        </w:rPr>
        <w:t xml:space="preserve"> mientras que Odebrecht ha indicado que pagaría 66 millones de dólares, es decir, el duplo de las coimas pagadas en </w:t>
      </w:r>
      <w:r w:rsidR="002E53A7">
        <w:rPr>
          <w:rFonts w:ascii="Tahoma" w:hAnsi="Tahoma" w:cs="Tahoma"/>
        </w:rPr>
        <w:t xml:space="preserve">las obras </w:t>
      </w:r>
      <w:r w:rsidR="00E5713C">
        <w:rPr>
          <w:rFonts w:ascii="Tahoma" w:hAnsi="Tahoma" w:cs="Tahoma"/>
        </w:rPr>
        <w:t>objeto de investigación</w:t>
      </w:r>
      <w:r w:rsidR="003A5691">
        <w:rPr>
          <w:rFonts w:ascii="Tahoma" w:hAnsi="Tahoma" w:cs="Tahoma"/>
        </w:rPr>
        <w:t>)</w:t>
      </w:r>
      <w:r>
        <w:rPr>
          <w:rFonts w:ascii="Tahoma" w:hAnsi="Tahoma" w:cs="Tahoma"/>
        </w:rPr>
        <w:t xml:space="preserve"> debería </w:t>
      </w:r>
      <w:r w:rsidR="003A5691">
        <w:rPr>
          <w:rFonts w:ascii="Tahoma" w:hAnsi="Tahoma" w:cs="Tahoma"/>
        </w:rPr>
        <w:t>analizarse esta metodología caso por caso</w:t>
      </w:r>
      <w:r>
        <w:rPr>
          <w:rFonts w:ascii="Tahoma" w:hAnsi="Tahoma" w:cs="Tahoma"/>
        </w:rPr>
        <w:t xml:space="preserve">, considerando que en el caso de </w:t>
      </w:r>
      <w:r w:rsidR="00710FC4">
        <w:rPr>
          <w:rFonts w:ascii="Tahoma" w:hAnsi="Tahoma" w:cs="Tahoma"/>
        </w:rPr>
        <w:t>colaboración</w:t>
      </w:r>
      <w:r>
        <w:rPr>
          <w:rFonts w:ascii="Tahoma" w:hAnsi="Tahoma" w:cs="Tahoma"/>
        </w:rPr>
        <w:t xml:space="preserve"> eficaz no hay disposiciones legales que </w:t>
      </w:r>
      <w:r w:rsidR="00710FC4">
        <w:rPr>
          <w:rFonts w:ascii="Tahoma" w:hAnsi="Tahoma" w:cs="Tahoma"/>
        </w:rPr>
        <w:t xml:space="preserve">establezcan como llegar a </w:t>
      </w:r>
      <w:r w:rsidR="003A5691">
        <w:rPr>
          <w:rFonts w:ascii="Tahoma" w:hAnsi="Tahoma" w:cs="Tahoma"/>
        </w:rPr>
        <w:t xml:space="preserve">dicho </w:t>
      </w:r>
      <w:r w:rsidR="003A5691" w:rsidRPr="003A5691">
        <w:rPr>
          <w:rFonts w:ascii="Tahoma" w:hAnsi="Tahoma" w:cs="Tahoma"/>
          <w:i/>
        </w:rPr>
        <w:t>quantum</w:t>
      </w:r>
      <w:r w:rsidR="00710FC4">
        <w:rPr>
          <w:rFonts w:ascii="Tahoma" w:hAnsi="Tahoma" w:cs="Tahoma"/>
        </w:rPr>
        <w:t>.</w:t>
      </w:r>
    </w:p>
    <w:p w:rsidR="00710FC4" w:rsidRDefault="003A5691" w:rsidP="0008542B">
      <w:pPr>
        <w:pStyle w:val="NormalWeb"/>
        <w:spacing w:line="276" w:lineRule="auto"/>
        <w:ind w:left="360"/>
        <w:jc w:val="both"/>
        <w:rPr>
          <w:rFonts w:ascii="Tahoma" w:hAnsi="Tahoma" w:cs="Tahoma"/>
        </w:rPr>
      </w:pPr>
      <w:r>
        <w:rPr>
          <w:rFonts w:ascii="Tahoma" w:hAnsi="Tahoma" w:cs="Tahoma"/>
        </w:rPr>
        <w:t xml:space="preserve">En ese sentido, la metodología propuesta, que es adaptable a todos los casos de colaboración eficaz en donde </w:t>
      </w:r>
      <w:r w:rsidR="00E5713C">
        <w:rPr>
          <w:rFonts w:ascii="Tahoma" w:hAnsi="Tahoma" w:cs="Tahoma"/>
        </w:rPr>
        <w:t>se investiguen casos de corrupción en el caso de obras públicas o concesiones</w:t>
      </w:r>
      <w:r w:rsidR="00710FC4">
        <w:rPr>
          <w:rFonts w:ascii="Tahoma" w:hAnsi="Tahoma" w:cs="Tahoma"/>
        </w:rPr>
        <w:t xml:space="preserve">, </w:t>
      </w:r>
      <w:r w:rsidR="00E5713C">
        <w:rPr>
          <w:rFonts w:ascii="Tahoma" w:hAnsi="Tahoma" w:cs="Tahoma"/>
        </w:rPr>
        <w:t>puede</w:t>
      </w:r>
      <w:r w:rsidR="00710FC4">
        <w:rPr>
          <w:rFonts w:ascii="Tahoma" w:hAnsi="Tahoma" w:cs="Tahoma"/>
        </w:rPr>
        <w:t xml:space="preserve"> servir para que se justifique el monto que vaya a determinarse</w:t>
      </w:r>
      <w:r w:rsidR="00E5713C">
        <w:rPr>
          <w:rFonts w:ascii="Tahoma" w:hAnsi="Tahoma" w:cs="Tahoma"/>
        </w:rPr>
        <w:t xml:space="preserve"> por parte de la Procuraduría Ad Hoc o, de ser el caso, la propia Fiscalía.</w:t>
      </w:r>
    </w:p>
    <w:p w:rsidR="000B3226" w:rsidRPr="00E963DD" w:rsidRDefault="000B3226" w:rsidP="000B3226">
      <w:pPr>
        <w:pStyle w:val="NormalWeb"/>
        <w:numPr>
          <w:ilvl w:val="0"/>
          <w:numId w:val="1"/>
        </w:numPr>
        <w:jc w:val="both"/>
        <w:rPr>
          <w:rFonts w:ascii="Tahoma" w:hAnsi="Tahoma" w:cs="Tahoma"/>
          <w:b/>
        </w:rPr>
      </w:pPr>
      <w:r>
        <w:rPr>
          <w:rFonts w:ascii="Tahoma" w:hAnsi="Tahoma" w:cs="Tahoma"/>
          <w:b/>
        </w:rPr>
        <w:t>Antecedentes</w:t>
      </w:r>
    </w:p>
    <w:p w:rsidR="000B3226" w:rsidRPr="00E963DD" w:rsidRDefault="000B3226" w:rsidP="000B3226">
      <w:pPr>
        <w:pStyle w:val="NormalWeb"/>
        <w:spacing w:line="276" w:lineRule="auto"/>
        <w:ind w:left="360"/>
        <w:jc w:val="both"/>
        <w:rPr>
          <w:rFonts w:ascii="Tahoma" w:hAnsi="Tahoma" w:cs="Tahoma"/>
        </w:rPr>
      </w:pPr>
      <w:r w:rsidRPr="00E963DD">
        <w:rPr>
          <w:rFonts w:ascii="Tahoma" w:hAnsi="Tahoma" w:cs="Tahoma"/>
        </w:rPr>
        <w:t>El acuerdo</w:t>
      </w:r>
      <w:r w:rsidRPr="00E963DD">
        <w:rPr>
          <w:rStyle w:val="Refdenotaalpie"/>
          <w:rFonts w:ascii="Tahoma" w:hAnsi="Tahoma" w:cs="Tahoma"/>
        </w:rPr>
        <w:footnoteReference w:id="1"/>
      </w:r>
      <w:r w:rsidRPr="00E963DD">
        <w:rPr>
          <w:rFonts w:ascii="Tahoma" w:hAnsi="Tahoma" w:cs="Tahoma"/>
        </w:rPr>
        <w:t xml:space="preserve"> suscrito entre el Ministerio Público de REPÚBLICA DOMINICANA y la empresa ODEBRECTH S.A., contempla entre otros</w:t>
      </w:r>
      <w:r>
        <w:rPr>
          <w:rFonts w:ascii="Tahoma" w:hAnsi="Tahoma" w:cs="Tahoma"/>
        </w:rPr>
        <w:t xml:space="preserve"> </w:t>
      </w:r>
      <w:r w:rsidRPr="00E963DD">
        <w:rPr>
          <w:rFonts w:ascii="Tahoma" w:hAnsi="Tahoma" w:cs="Tahoma"/>
        </w:rPr>
        <w:t>aspectos, lo siguiente:</w:t>
      </w:r>
    </w:p>
    <w:p w:rsidR="000B3226" w:rsidRPr="00E963DD" w:rsidRDefault="000B3226" w:rsidP="000B3226">
      <w:pPr>
        <w:pStyle w:val="NormalWeb"/>
        <w:numPr>
          <w:ilvl w:val="0"/>
          <w:numId w:val="2"/>
        </w:numPr>
        <w:spacing w:before="0" w:beforeAutospacing="0" w:after="0" w:afterAutospacing="0" w:line="276" w:lineRule="auto"/>
        <w:jc w:val="both"/>
        <w:rPr>
          <w:rFonts w:ascii="Tahoma" w:hAnsi="Tahoma" w:cs="Tahoma"/>
        </w:rPr>
      </w:pPr>
      <w:r w:rsidRPr="00E963DD">
        <w:rPr>
          <w:rFonts w:ascii="Tahoma" w:hAnsi="Tahoma" w:cs="Tahoma"/>
        </w:rPr>
        <w:t xml:space="preserve">Odebrecht en los </w:t>
      </w:r>
      <w:r w:rsidRPr="00E963DD">
        <w:rPr>
          <w:rFonts w:ascii="Tahoma" w:hAnsi="Tahoma" w:cs="Tahoma"/>
          <w:b/>
        </w:rPr>
        <w:t>acuerdos de lenidad</w:t>
      </w:r>
      <w:r w:rsidRPr="00E963DD">
        <w:rPr>
          <w:rFonts w:ascii="Tahoma" w:hAnsi="Tahoma" w:cs="Tahoma"/>
        </w:rPr>
        <w:t xml:space="preserve"> suscritos con Brasil, Estados Unidos de América y Suiza (los ‘Acuerdos de Lenidad"), indicó que “</w:t>
      </w:r>
      <w:r w:rsidRPr="00E963DD">
        <w:rPr>
          <w:rFonts w:ascii="Tahoma" w:hAnsi="Tahoma" w:cs="Tahoma"/>
          <w:i/>
        </w:rPr>
        <w:t>entre 2001 a 2014 realizó pagos por la suma de más de noventa y dos millones de dólares de los Estados Unidos de América (</w:t>
      </w:r>
      <w:r w:rsidRPr="00E963DD">
        <w:rPr>
          <w:rFonts w:ascii="Tahoma" w:hAnsi="Tahoma" w:cs="Tahoma"/>
          <w:b/>
          <w:i/>
        </w:rPr>
        <w:t>US$92,000,000.00</w:t>
      </w:r>
      <w:r w:rsidRPr="00E963DD">
        <w:rPr>
          <w:rFonts w:ascii="Tahoma" w:hAnsi="Tahoma" w:cs="Tahoma"/>
          <w:i/>
        </w:rPr>
        <w:t>) a funcionarios públicos del gobierno de la República Dominicana, directamente o a través de intermediarios, a los fines de facilitar o asegurar ciertos contratos de construcción de obras de infraestructura en la República Dominicana</w:t>
      </w:r>
      <w:r w:rsidRPr="00E963DD">
        <w:rPr>
          <w:rFonts w:ascii="Tahoma" w:hAnsi="Tahoma" w:cs="Tahoma"/>
        </w:rPr>
        <w:t>" (los "Hechos Declarados y Admitidos").</w:t>
      </w:r>
    </w:p>
    <w:p w:rsidR="000B3226" w:rsidRPr="00E963DD" w:rsidRDefault="000B3226" w:rsidP="000B3226">
      <w:pPr>
        <w:pStyle w:val="NormalWeb"/>
        <w:spacing w:before="0" w:beforeAutospacing="0" w:after="0" w:afterAutospacing="0" w:line="276" w:lineRule="auto"/>
        <w:ind w:left="1080"/>
        <w:jc w:val="both"/>
        <w:rPr>
          <w:rFonts w:ascii="Tahoma" w:hAnsi="Tahoma" w:cs="Tahoma"/>
        </w:rPr>
      </w:pPr>
    </w:p>
    <w:p w:rsidR="000B3226" w:rsidRPr="00E963DD" w:rsidRDefault="000B3226" w:rsidP="000B3226">
      <w:pPr>
        <w:pStyle w:val="NormalWeb"/>
        <w:numPr>
          <w:ilvl w:val="0"/>
          <w:numId w:val="2"/>
        </w:numPr>
        <w:spacing w:before="0" w:beforeAutospacing="0" w:after="0" w:afterAutospacing="0" w:line="276" w:lineRule="auto"/>
        <w:jc w:val="both"/>
        <w:rPr>
          <w:rFonts w:ascii="Tahoma" w:hAnsi="Tahoma" w:cs="Tahoma"/>
        </w:rPr>
      </w:pPr>
      <w:r w:rsidRPr="00E963DD">
        <w:rPr>
          <w:rFonts w:ascii="Tahoma" w:hAnsi="Tahoma" w:cs="Tahoma"/>
        </w:rPr>
        <w:lastRenderedPageBreak/>
        <w:t xml:space="preserve">El artículo 6 de la Ley número 448-6 sobre soborno en el comercio y la inversión establece que, en los casos en que el </w:t>
      </w:r>
      <w:proofErr w:type="spellStart"/>
      <w:r w:rsidRPr="00E963DD">
        <w:rPr>
          <w:rFonts w:ascii="Tahoma" w:hAnsi="Tahoma" w:cs="Tahoma"/>
        </w:rPr>
        <w:t>sobornante</w:t>
      </w:r>
      <w:proofErr w:type="spellEnd"/>
      <w:r w:rsidRPr="00E963DD">
        <w:rPr>
          <w:rFonts w:ascii="Tahoma" w:hAnsi="Tahoma" w:cs="Tahoma"/>
        </w:rPr>
        <w:t xml:space="preserve"> sea una persona jurídica, será condenado a una multa del </w:t>
      </w:r>
      <w:r w:rsidRPr="00E963DD">
        <w:rPr>
          <w:rFonts w:ascii="Tahoma" w:hAnsi="Tahoma" w:cs="Tahoma"/>
          <w:b/>
        </w:rPr>
        <w:t>duplo</w:t>
      </w:r>
      <w:r w:rsidRPr="00E963DD">
        <w:rPr>
          <w:rFonts w:ascii="Tahoma" w:hAnsi="Tahoma" w:cs="Tahoma"/>
        </w:rPr>
        <w:t xml:space="preserve"> de las recompensas ofrecidas, prometidas u otorgadas, sin que, en ningún caso, pueda esa multa ser inferior a setenta y cinco salarios mínimos.</w:t>
      </w:r>
    </w:p>
    <w:p w:rsidR="000B3226" w:rsidRPr="00E963DD" w:rsidRDefault="000B3226" w:rsidP="000B3226">
      <w:pPr>
        <w:pStyle w:val="NormalWeb"/>
        <w:spacing w:before="0" w:beforeAutospacing="0" w:after="0" w:afterAutospacing="0" w:line="276" w:lineRule="auto"/>
        <w:ind w:left="1080"/>
        <w:jc w:val="both"/>
        <w:rPr>
          <w:rFonts w:ascii="Tahoma" w:hAnsi="Tahoma" w:cs="Tahoma"/>
        </w:rPr>
      </w:pPr>
    </w:p>
    <w:p w:rsidR="000B3226" w:rsidRPr="00E963DD" w:rsidRDefault="000B3226" w:rsidP="000B3226">
      <w:pPr>
        <w:pStyle w:val="NormalWeb"/>
        <w:numPr>
          <w:ilvl w:val="0"/>
          <w:numId w:val="2"/>
        </w:numPr>
        <w:spacing w:before="0" w:beforeAutospacing="0" w:after="0" w:afterAutospacing="0" w:line="276" w:lineRule="auto"/>
        <w:jc w:val="both"/>
        <w:rPr>
          <w:rFonts w:ascii="Tahoma" w:hAnsi="Tahoma" w:cs="Tahoma"/>
        </w:rPr>
      </w:pPr>
      <w:r w:rsidRPr="00E963DD">
        <w:rPr>
          <w:rFonts w:ascii="Tahoma" w:hAnsi="Tahoma" w:cs="Tahoma"/>
        </w:rPr>
        <w:t xml:space="preserve">El Ministerio Público opta por la aplicación de “criterios de oportunidad” y </w:t>
      </w:r>
      <w:proofErr w:type="spellStart"/>
      <w:r w:rsidRPr="00E963DD">
        <w:rPr>
          <w:rFonts w:ascii="Tahoma" w:hAnsi="Tahoma" w:cs="Tahoma"/>
        </w:rPr>
        <w:t>odebrecht</w:t>
      </w:r>
      <w:proofErr w:type="spellEnd"/>
      <w:r w:rsidRPr="00E963DD">
        <w:rPr>
          <w:rFonts w:ascii="Tahoma" w:hAnsi="Tahoma" w:cs="Tahoma"/>
        </w:rPr>
        <w:t xml:space="preserve">  se compromete a “cooperar con la investigación en curso” que está siendo realizada por el MP, en aras de determinar los responsables locales de las prácticas de sobornos reconocidos por Odebrecht bajo los Acuerdos de Lenidad.</w:t>
      </w:r>
    </w:p>
    <w:p w:rsidR="000B3226" w:rsidRPr="00E963DD" w:rsidRDefault="000B3226" w:rsidP="000B3226">
      <w:pPr>
        <w:pStyle w:val="NormalWeb"/>
        <w:spacing w:before="0" w:beforeAutospacing="0" w:after="0" w:afterAutospacing="0" w:line="276" w:lineRule="auto"/>
        <w:ind w:left="1080"/>
        <w:jc w:val="both"/>
        <w:rPr>
          <w:rFonts w:ascii="Tahoma" w:hAnsi="Tahoma" w:cs="Tahoma"/>
        </w:rPr>
      </w:pPr>
    </w:p>
    <w:p w:rsidR="000B3226" w:rsidRPr="00E963DD" w:rsidRDefault="000B3226" w:rsidP="000B3226">
      <w:pPr>
        <w:pStyle w:val="NormalWeb"/>
        <w:numPr>
          <w:ilvl w:val="0"/>
          <w:numId w:val="2"/>
        </w:numPr>
        <w:spacing w:before="0" w:beforeAutospacing="0" w:after="0" w:afterAutospacing="0" w:line="276" w:lineRule="auto"/>
        <w:jc w:val="both"/>
        <w:rPr>
          <w:rFonts w:ascii="Tahoma" w:hAnsi="Tahoma" w:cs="Tahoma"/>
        </w:rPr>
      </w:pPr>
      <w:r w:rsidRPr="00E963DD">
        <w:rPr>
          <w:rFonts w:ascii="Tahoma" w:hAnsi="Tahoma" w:cs="Tahoma"/>
        </w:rPr>
        <w:t xml:space="preserve">Odebrecht pagará al Estado Dominicano una indemnización ascendente a Ciento Ochenta y Cuatro Millones de Dólares de los Estados Unidos de América (US$184,000,000.00) como resarcimiento de los daños y perjuicios causados al Estado Dominicano por los hechos reconocidos en los Acuerdos de Lenidad, en especial, por los sobornos pagados a funcionarios públicos para obtener la adjudicación de obras de infraestructura, suma que corresponde al </w:t>
      </w:r>
      <w:r w:rsidRPr="00E963DD">
        <w:rPr>
          <w:rFonts w:ascii="Tahoma" w:hAnsi="Tahoma" w:cs="Tahoma"/>
          <w:b/>
        </w:rPr>
        <w:t>duplo</w:t>
      </w:r>
      <w:r w:rsidRPr="00E963DD">
        <w:rPr>
          <w:rFonts w:ascii="Tahoma" w:hAnsi="Tahoma" w:cs="Tahoma"/>
        </w:rPr>
        <w:t xml:space="preserve"> de las recompensas ofrecidas, prometidas u otorgadas.</w:t>
      </w:r>
    </w:p>
    <w:p w:rsidR="000B3226" w:rsidRPr="00E963DD" w:rsidRDefault="000B3226" w:rsidP="000B3226">
      <w:pPr>
        <w:pStyle w:val="NormalWeb"/>
        <w:spacing w:line="276" w:lineRule="auto"/>
        <w:ind w:left="360"/>
        <w:jc w:val="both"/>
        <w:rPr>
          <w:rFonts w:ascii="Tahoma" w:hAnsi="Tahoma" w:cs="Tahoma"/>
        </w:rPr>
      </w:pPr>
      <w:r w:rsidRPr="00E963DD">
        <w:rPr>
          <w:rFonts w:ascii="Tahoma" w:hAnsi="Tahoma" w:cs="Tahoma"/>
        </w:rPr>
        <w:t>Como puede advertirse, el citado acuerdo parte una dato</w:t>
      </w:r>
      <w:r>
        <w:rPr>
          <w:rFonts w:ascii="Tahoma" w:hAnsi="Tahoma" w:cs="Tahoma"/>
        </w:rPr>
        <w:t xml:space="preserve"> </w:t>
      </w:r>
      <w:r w:rsidRPr="00E963DD">
        <w:rPr>
          <w:rFonts w:ascii="Tahoma" w:hAnsi="Tahoma" w:cs="Tahoma"/>
        </w:rPr>
        <w:t>objetivo, esta es, la Ley N°448-6 Sobre el Soborno en el Comercio e Inversión</w:t>
      </w:r>
      <w:r w:rsidR="0008542B">
        <w:rPr>
          <w:rFonts w:ascii="Tahoma" w:hAnsi="Tahoma" w:cs="Tahoma"/>
        </w:rPr>
        <w:t xml:space="preserve"> de República Dominicana</w:t>
      </w:r>
      <w:r w:rsidRPr="00E963DD">
        <w:rPr>
          <w:rFonts w:ascii="Tahoma" w:hAnsi="Tahoma" w:cs="Tahoma"/>
        </w:rPr>
        <w:t>,</w:t>
      </w:r>
      <w:r>
        <w:rPr>
          <w:rFonts w:ascii="Tahoma" w:hAnsi="Tahoma" w:cs="Tahoma"/>
        </w:rPr>
        <w:t xml:space="preserve"> </w:t>
      </w:r>
      <w:r w:rsidRPr="00E963DD">
        <w:rPr>
          <w:rFonts w:ascii="Tahoma" w:hAnsi="Tahoma" w:cs="Tahoma"/>
        </w:rPr>
        <w:t xml:space="preserve">cuyo artículo 6 expresamente dispone que </w:t>
      </w:r>
      <w:r w:rsidRPr="00E963DD">
        <w:rPr>
          <w:rFonts w:ascii="Tahoma" w:hAnsi="Tahoma" w:cs="Tahoma"/>
          <w:i/>
        </w:rPr>
        <w:t xml:space="preserve">“(...) en los casos que el </w:t>
      </w:r>
      <w:proofErr w:type="spellStart"/>
      <w:r w:rsidRPr="00E963DD">
        <w:rPr>
          <w:rFonts w:ascii="Tahoma" w:hAnsi="Tahoma" w:cs="Tahoma"/>
          <w:i/>
        </w:rPr>
        <w:t>sobornante</w:t>
      </w:r>
      <w:proofErr w:type="spellEnd"/>
      <w:r w:rsidRPr="00E963DD">
        <w:rPr>
          <w:rFonts w:ascii="Tahoma" w:hAnsi="Tahoma" w:cs="Tahoma"/>
          <w:i/>
        </w:rPr>
        <w:t xml:space="preserve"> sea una persona jurídica, </w:t>
      </w:r>
      <w:r w:rsidRPr="00E963DD">
        <w:rPr>
          <w:rFonts w:ascii="Tahoma" w:hAnsi="Tahoma" w:cs="Tahoma"/>
          <w:i/>
          <w:u w:val="single"/>
        </w:rPr>
        <w:t xml:space="preserve">será condenado a una </w:t>
      </w:r>
      <w:r w:rsidRPr="00E963DD">
        <w:rPr>
          <w:rFonts w:ascii="Tahoma" w:hAnsi="Tahoma" w:cs="Tahoma"/>
          <w:b/>
          <w:i/>
          <w:u w:val="single"/>
        </w:rPr>
        <w:t>multa del duplo</w:t>
      </w:r>
      <w:r w:rsidRPr="00E963DD">
        <w:rPr>
          <w:rFonts w:ascii="Tahoma" w:hAnsi="Tahoma" w:cs="Tahoma"/>
          <w:i/>
          <w:u w:val="single"/>
        </w:rPr>
        <w:t xml:space="preserve"> de las recompensas ofrecidas, prometidas u otorgadas</w:t>
      </w:r>
      <w:r w:rsidRPr="00E963DD">
        <w:rPr>
          <w:rFonts w:ascii="Tahoma" w:hAnsi="Tahoma" w:cs="Tahoma"/>
          <w:i/>
        </w:rPr>
        <w:t xml:space="preserve"> (...)”.</w:t>
      </w:r>
    </w:p>
    <w:p w:rsidR="000B3226" w:rsidRPr="00E963DD" w:rsidRDefault="000B3226" w:rsidP="000B3226">
      <w:pPr>
        <w:pStyle w:val="NormalWeb"/>
        <w:spacing w:line="276" w:lineRule="auto"/>
        <w:ind w:left="360"/>
        <w:jc w:val="both"/>
        <w:rPr>
          <w:rFonts w:ascii="Tahoma" w:hAnsi="Tahoma" w:cs="Tahoma"/>
        </w:rPr>
      </w:pPr>
      <w:r w:rsidRPr="00E963DD">
        <w:rPr>
          <w:rFonts w:ascii="Tahoma" w:hAnsi="Tahoma" w:cs="Tahoma"/>
        </w:rPr>
        <w:t xml:space="preserve">Dicha norma no obstante que regula una pena de multa fue aplicada por el Ministerio Público para determinar el </w:t>
      </w:r>
      <w:r w:rsidRPr="00E963DD">
        <w:rPr>
          <w:rFonts w:ascii="Tahoma" w:hAnsi="Tahoma" w:cs="Tahoma"/>
          <w:i/>
        </w:rPr>
        <w:t xml:space="preserve">quantum </w:t>
      </w:r>
      <w:r w:rsidRPr="00E963DD">
        <w:rPr>
          <w:rFonts w:ascii="Tahoma" w:hAnsi="Tahoma" w:cs="Tahoma"/>
        </w:rPr>
        <w:t xml:space="preserve">de la “reparación civil” en el marco de una colaboración y aplicación de criterios de oportunidad. </w:t>
      </w:r>
    </w:p>
    <w:p w:rsidR="000B3226" w:rsidRDefault="000B3226" w:rsidP="000B3226">
      <w:pPr>
        <w:pStyle w:val="NormalWeb"/>
        <w:spacing w:line="276" w:lineRule="auto"/>
        <w:ind w:left="360"/>
        <w:jc w:val="both"/>
        <w:rPr>
          <w:rFonts w:ascii="Tahoma" w:hAnsi="Tahoma" w:cs="Tahoma"/>
        </w:rPr>
      </w:pPr>
      <w:r w:rsidRPr="00E963DD">
        <w:rPr>
          <w:rFonts w:ascii="Tahoma" w:hAnsi="Tahoma" w:cs="Tahoma"/>
        </w:rPr>
        <w:t xml:space="preserve">Ahora bien, </w:t>
      </w:r>
      <w:r w:rsidRPr="00C24DC7">
        <w:rPr>
          <w:rFonts w:ascii="Tahoma" w:hAnsi="Tahoma" w:cs="Tahoma"/>
          <w:b/>
        </w:rPr>
        <w:t>en el caso peruano</w:t>
      </w:r>
      <w:r w:rsidRPr="00E963DD">
        <w:rPr>
          <w:rFonts w:ascii="Tahoma" w:hAnsi="Tahoma" w:cs="Tahoma"/>
        </w:rPr>
        <w:t xml:space="preserve"> no existe una ley similar que sea aplicable a los casos </w:t>
      </w:r>
      <w:r>
        <w:rPr>
          <w:rFonts w:ascii="Tahoma" w:hAnsi="Tahoma" w:cs="Tahoma"/>
        </w:rPr>
        <w:t>“</w:t>
      </w:r>
      <w:r w:rsidRPr="00E963DD">
        <w:rPr>
          <w:rFonts w:ascii="Tahoma" w:hAnsi="Tahoma" w:cs="Tahoma"/>
        </w:rPr>
        <w:t>bajo investigación</w:t>
      </w:r>
      <w:r>
        <w:rPr>
          <w:rFonts w:ascii="Tahoma" w:hAnsi="Tahoma" w:cs="Tahoma"/>
        </w:rPr>
        <w:t>”</w:t>
      </w:r>
      <w:r w:rsidRPr="00E963DD">
        <w:rPr>
          <w:rFonts w:ascii="Tahoma" w:hAnsi="Tahoma" w:cs="Tahoma"/>
        </w:rPr>
        <w:t>. Por ende, no resulta viable considerar el monto de las sumas indebidamente pagadas (</w:t>
      </w:r>
      <w:r w:rsidRPr="00927833">
        <w:rPr>
          <w:rFonts w:ascii="Tahoma" w:hAnsi="Tahoma" w:cs="Tahoma"/>
          <w:b/>
        </w:rPr>
        <w:t>coimas</w:t>
      </w:r>
      <w:r w:rsidRPr="00E963DD">
        <w:rPr>
          <w:rFonts w:ascii="Tahoma" w:hAnsi="Tahoma" w:cs="Tahoma"/>
        </w:rPr>
        <w:t>)</w:t>
      </w:r>
      <w:r w:rsidR="00E5713C">
        <w:rPr>
          <w:rFonts w:ascii="Tahoma" w:hAnsi="Tahoma" w:cs="Tahoma"/>
        </w:rPr>
        <w:t>,</w:t>
      </w:r>
      <w:r w:rsidRPr="00E963DD">
        <w:rPr>
          <w:rFonts w:ascii="Tahoma" w:hAnsi="Tahoma" w:cs="Tahoma"/>
        </w:rPr>
        <w:t xml:space="preserve"> </w:t>
      </w:r>
      <w:r w:rsidR="00E5713C">
        <w:rPr>
          <w:rFonts w:ascii="Tahoma" w:hAnsi="Tahoma" w:cs="Tahoma"/>
        </w:rPr>
        <w:t xml:space="preserve">o su duplo, </w:t>
      </w:r>
      <w:r w:rsidRPr="00E963DD">
        <w:rPr>
          <w:rFonts w:ascii="Tahoma" w:hAnsi="Tahoma" w:cs="Tahoma"/>
        </w:rPr>
        <w:t>como un parámetro útil a efectos determinar un monto indemnizatorio en el marco de los procesos por colaboración eficaz.</w:t>
      </w:r>
    </w:p>
    <w:p w:rsidR="00710FC4" w:rsidRDefault="00710FC4" w:rsidP="00710FC4">
      <w:pPr>
        <w:pStyle w:val="NormalWeb"/>
        <w:spacing w:line="276" w:lineRule="auto"/>
        <w:ind w:left="360"/>
        <w:jc w:val="both"/>
        <w:rPr>
          <w:rFonts w:ascii="Tahoma" w:hAnsi="Tahoma" w:cs="Tahoma"/>
        </w:rPr>
      </w:pPr>
      <w:r>
        <w:rPr>
          <w:rFonts w:ascii="Tahoma" w:hAnsi="Tahoma" w:cs="Tahoma"/>
        </w:rPr>
        <w:t>En ese sentido, b</w:t>
      </w:r>
      <w:r w:rsidRPr="00E963DD">
        <w:rPr>
          <w:rFonts w:ascii="Tahoma" w:hAnsi="Tahoma" w:cs="Tahoma"/>
        </w:rPr>
        <w:t>ajo tales consideraciones y apelando a criterios económicos, m</w:t>
      </w:r>
      <w:r>
        <w:rPr>
          <w:rFonts w:ascii="Tahoma" w:hAnsi="Tahoma" w:cs="Tahoma"/>
        </w:rPr>
        <w:t>ediante el presente documento,</w:t>
      </w:r>
      <w:r w:rsidRPr="00E963DD">
        <w:rPr>
          <w:rFonts w:ascii="Tahoma" w:hAnsi="Tahoma" w:cs="Tahoma"/>
        </w:rPr>
        <w:t xml:space="preserve"> se </w:t>
      </w:r>
      <w:r>
        <w:rPr>
          <w:rFonts w:ascii="Tahoma" w:hAnsi="Tahoma" w:cs="Tahoma"/>
        </w:rPr>
        <w:t>plantea</w:t>
      </w:r>
      <w:r w:rsidRPr="00E963DD">
        <w:rPr>
          <w:rFonts w:ascii="Tahoma" w:hAnsi="Tahoma" w:cs="Tahoma"/>
        </w:rPr>
        <w:t xml:space="preserve"> una metodología para la determinación del </w:t>
      </w:r>
      <w:r w:rsidRPr="00E963DD">
        <w:rPr>
          <w:rFonts w:ascii="Tahoma" w:hAnsi="Tahoma" w:cs="Tahoma"/>
          <w:i/>
        </w:rPr>
        <w:t>quantum</w:t>
      </w:r>
      <w:r w:rsidRPr="00E963DD">
        <w:rPr>
          <w:rFonts w:ascii="Tahoma" w:hAnsi="Tahoma" w:cs="Tahoma"/>
        </w:rPr>
        <w:t xml:space="preserve"> la reparación civil en aquellos proceso</w:t>
      </w:r>
      <w:r>
        <w:rPr>
          <w:rFonts w:ascii="Tahoma" w:hAnsi="Tahoma" w:cs="Tahoma"/>
        </w:rPr>
        <w:t>s</w:t>
      </w:r>
      <w:r w:rsidRPr="00E963DD">
        <w:rPr>
          <w:rFonts w:ascii="Tahoma" w:hAnsi="Tahoma" w:cs="Tahoma"/>
        </w:rPr>
        <w:t>.</w:t>
      </w:r>
    </w:p>
    <w:p w:rsidR="000B3226" w:rsidRDefault="00710FC4" w:rsidP="00345827">
      <w:pPr>
        <w:pStyle w:val="NormalWeb"/>
        <w:spacing w:line="276" w:lineRule="auto"/>
        <w:ind w:left="360"/>
        <w:jc w:val="both"/>
        <w:rPr>
          <w:rFonts w:ascii="Tahoma" w:hAnsi="Tahoma" w:cs="Tahoma"/>
        </w:rPr>
      </w:pPr>
      <w:r>
        <w:rPr>
          <w:rFonts w:ascii="Tahoma" w:hAnsi="Tahoma" w:cs="Tahoma"/>
        </w:rPr>
        <w:lastRenderedPageBreak/>
        <w:t xml:space="preserve">Imaginemos que a la fecha se tienen 4 procesos penales en marcha, sobre 4 obras distintas de gran envergadura, en el que se investiguen presuntos hechos de corrupción del grupo </w:t>
      </w:r>
      <w:r w:rsidR="000B3226">
        <w:rPr>
          <w:rFonts w:ascii="Tahoma" w:hAnsi="Tahoma" w:cs="Tahoma"/>
        </w:rPr>
        <w:t>ODEBRECHT</w:t>
      </w:r>
      <w:r>
        <w:rPr>
          <w:rFonts w:ascii="Tahoma" w:hAnsi="Tahoma" w:cs="Tahoma"/>
        </w:rPr>
        <w:t xml:space="preserve">. Asimismo, </w:t>
      </w:r>
      <w:r w:rsidR="00345827">
        <w:rPr>
          <w:rFonts w:ascii="Tahoma" w:hAnsi="Tahoma" w:cs="Tahoma"/>
        </w:rPr>
        <w:t xml:space="preserve">partamos del supuesto de que </w:t>
      </w:r>
      <w:r>
        <w:rPr>
          <w:rFonts w:ascii="Tahoma" w:hAnsi="Tahoma" w:cs="Tahoma"/>
        </w:rPr>
        <w:t>sobre las 4 obras se ha tomado conocimiento que la u</w:t>
      </w:r>
      <w:r w:rsidR="00E5713C">
        <w:rPr>
          <w:rFonts w:ascii="Tahoma" w:hAnsi="Tahoma" w:cs="Tahoma"/>
        </w:rPr>
        <w:t>tilidad neta de dicha empresa fue</w:t>
      </w:r>
      <w:r w:rsidR="00345827">
        <w:rPr>
          <w:rFonts w:ascii="Tahoma" w:hAnsi="Tahoma" w:cs="Tahoma"/>
        </w:rPr>
        <w:t xml:space="preserve"> de </w:t>
      </w:r>
      <w:r>
        <w:rPr>
          <w:rFonts w:ascii="Tahoma" w:hAnsi="Tahoma" w:cs="Tahoma"/>
        </w:rPr>
        <w:t>600 millones de soles, tal como se señala en el siguiente cuadro:</w:t>
      </w:r>
    </w:p>
    <w:tbl>
      <w:tblPr>
        <w:tblStyle w:val="Tablaconcuadrcula"/>
        <w:tblW w:w="0" w:type="auto"/>
        <w:tblInd w:w="534" w:type="dxa"/>
        <w:tblLook w:val="04A0" w:firstRow="1" w:lastRow="0" w:firstColumn="1" w:lastColumn="0" w:noHBand="0" w:noVBand="1"/>
      </w:tblPr>
      <w:tblGrid>
        <w:gridCol w:w="5467"/>
        <w:gridCol w:w="2493"/>
      </w:tblGrid>
      <w:tr w:rsidR="000B3226" w:rsidTr="00710FC4">
        <w:trPr>
          <w:trHeight w:val="408"/>
        </w:trPr>
        <w:tc>
          <w:tcPr>
            <w:tcW w:w="5467" w:type="dxa"/>
            <w:shd w:val="clear" w:color="auto" w:fill="7F7F7F" w:themeFill="text1" w:themeFillTint="80"/>
          </w:tcPr>
          <w:p w:rsidR="000B3226" w:rsidRPr="00927833" w:rsidRDefault="000B3226" w:rsidP="00F73A21">
            <w:pPr>
              <w:pStyle w:val="NormalWeb"/>
              <w:spacing w:line="276" w:lineRule="auto"/>
              <w:jc w:val="center"/>
              <w:rPr>
                <w:rFonts w:ascii="Tahoma" w:hAnsi="Tahoma" w:cs="Tahoma"/>
                <w:b/>
                <w:color w:val="FFFFFF" w:themeColor="background1"/>
              </w:rPr>
            </w:pPr>
            <w:r w:rsidRPr="00927833">
              <w:rPr>
                <w:rFonts w:ascii="Tahoma" w:hAnsi="Tahoma" w:cs="Tahoma"/>
                <w:b/>
                <w:color w:val="FFFFFF" w:themeColor="background1"/>
              </w:rPr>
              <w:t>PROYECTO</w:t>
            </w:r>
            <w:r w:rsidR="00E5713C">
              <w:rPr>
                <w:rFonts w:ascii="Tahoma" w:hAnsi="Tahoma" w:cs="Tahoma"/>
                <w:b/>
                <w:color w:val="FFFFFF" w:themeColor="background1"/>
              </w:rPr>
              <w:t>S DE OBRAS PÚBLICAS O CONCESIONES</w:t>
            </w:r>
          </w:p>
        </w:tc>
        <w:tc>
          <w:tcPr>
            <w:tcW w:w="2493" w:type="dxa"/>
            <w:shd w:val="clear" w:color="auto" w:fill="7F7F7F" w:themeFill="text1" w:themeFillTint="80"/>
          </w:tcPr>
          <w:p w:rsidR="000B3226" w:rsidRPr="00927833" w:rsidRDefault="000B3226" w:rsidP="00F73A21">
            <w:pPr>
              <w:jc w:val="center"/>
              <w:rPr>
                <w:rFonts w:ascii="Tahoma" w:hAnsi="Tahoma" w:cs="Tahoma"/>
                <w:b/>
                <w:color w:val="FFFFFF" w:themeColor="background1"/>
              </w:rPr>
            </w:pPr>
            <w:r w:rsidRPr="00927833">
              <w:rPr>
                <w:rFonts w:ascii="Tahoma" w:hAnsi="Tahoma" w:cs="Tahoma"/>
                <w:b/>
                <w:color w:val="FFFFFF" w:themeColor="background1"/>
              </w:rPr>
              <w:t>UTILIDAD NETA TOTAL</w:t>
            </w:r>
            <w:r w:rsidR="00E5713C">
              <w:rPr>
                <w:rFonts w:ascii="Tahoma" w:hAnsi="Tahoma" w:cs="Tahoma"/>
                <w:b/>
                <w:color w:val="FFFFFF" w:themeColor="background1"/>
              </w:rPr>
              <w:t xml:space="preserve"> DE ODEBRECHT</w:t>
            </w:r>
            <w:r w:rsidRPr="00927833">
              <w:rPr>
                <w:rFonts w:ascii="Tahoma" w:hAnsi="Tahoma" w:cs="Tahoma"/>
                <w:b/>
                <w:color w:val="FFFFFF" w:themeColor="background1"/>
              </w:rPr>
              <w:t xml:space="preserve">: </w:t>
            </w:r>
          </w:p>
        </w:tc>
      </w:tr>
      <w:tr w:rsidR="000B3226" w:rsidTr="003A5691">
        <w:trPr>
          <w:trHeight w:val="203"/>
        </w:trPr>
        <w:tc>
          <w:tcPr>
            <w:tcW w:w="5467" w:type="dxa"/>
          </w:tcPr>
          <w:p w:rsidR="000B3226" w:rsidRPr="00927833" w:rsidRDefault="00710FC4" w:rsidP="000B3226">
            <w:pPr>
              <w:pStyle w:val="Prrafodelista"/>
              <w:numPr>
                <w:ilvl w:val="0"/>
                <w:numId w:val="3"/>
              </w:numPr>
              <w:spacing w:after="0" w:line="360" w:lineRule="auto"/>
            </w:pPr>
            <w:r>
              <w:t>Obra 1</w:t>
            </w:r>
          </w:p>
        </w:tc>
        <w:tc>
          <w:tcPr>
            <w:tcW w:w="2493" w:type="dxa"/>
            <w:vMerge w:val="restart"/>
            <w:shd w:val="clear" w:color="auto" w:fill="auto"/>
          </w:tcPr>
          <w:p w:rsidR="00710FC4" w:rsidRDefault="00710FC4" w:rsidP="00F73A21">
            <w:pPr>
              <w:jc w:val="center"/>
              <w:rPr>
                <w:rFonts w:ascii="Tahoma" w:hAnsi="Tahoma" w:cs="Tahoma"/>
              </w:rPr>
            </w:pPr>
          </w:p>
          <w:p w:rsidR="000B3226" w:rsidRDefault="00710FC4" w:rsidP="00F73A21">
            <w:pPr>
              <w:jc w:val="center"/>
              <w:rPr>
                <w:rFonts w:ascii="Tahoma" w:hAnsi="Tahoma" w:cs="Tahoma"/>
              </w:rPr>
            </w:pPr>
            <w:r>
              <w:rPr>
                <w:rFonts w:ascii="Tahoma" w:hAnsi="Tahoma" w:cs="Tahoma"/>
              </w:rPr>
              <w:t>600 millones</w:t>
            </w:r>
          </w:p>
        </w:tc>
      </w:tr>
      <w:tr w:rsidR="000B3226" w:rsidTr="003A5691">
        <w:trPr>
          <w:trHeight w:val="222"/>
        </w:trPr>
        <w:tc>
          <w:tcPr>
            <w:tcW w:w="5467" w:type="dxa"/>
          </w:tcPr>
          <w:p w:rsidR="000B3226" w:rsidRPr="00C94C4B" w:rsidRDefault="00710FC4" w:rsidP="000B3226">
            <w:pPr>
              <w:pStyle w:val="Prrafodelista"/>
              <w:numPr>
                <w:ilvl w:val="0"/>
                <w:numId w:val="3"/>
              </w:numPr>
              <w:spacing w:after="0" w:line="360" w:lineRule="auto"/>
            </w:pPr>
            <w:r>
              <w:t>Obra 2</w:t>
            </w:r>
          </w:p>
        </w:tc>
        <w:tc>
          <w:tcPr>
            <w:tcW w:w="2493" w:type="dxa"/>
            <w:vMerge/>
            <w:shd w:val="clear" w:color="auto" w:fill="auto"/>
          </w:tcPr>
          <w:p w:rsidR="000B3226" w:rsidRDefault="000B3226" w:rsidP="00F73A21">
            <w:pPr>
              <w:rPr>
                <w:rFonts w:ascii="Tahoma" w:hAnsi="Tahoma" w:cs="Tahoma"/>
              </w:rPr>
            </w:pPr>
          </w:p>
        </w:tc>
      </w:tr>
      <w:tr w:rsidR="000B3226" w:rsidTr="003A5691">
        <w:trPr>
          <w:trHeight w:val="228"/>
        </w:trPr>
        <w:tc>
          <w:tcPr>
            <w:tcW w:w="5467" w:type="dxa"/>
          </w:tcPr>
          <w:p w:rsidR="000B3226" w:rsidRPr="00C94C4B" w:rsidRDefault="00710FC4" w:rsidP="000B3226">
            <w:pPr>
              <w:pStyle w:val="Prrafodelista"/>
              <w:numPr>
                <w:ilvl w:val="0"/>
                <w:numId w:val="3"/>
              </w:numPr>
              <w:spacing w:after="0" w:line="360" w:lineRule="auto"/>
            </w:pPr>
            <w:r>
              <w:t>Obra 3</w:t>
            </w:r>
          </w:p>
        </w:tc>
        <w:tc>
          <w:tcPr>
            <w:tcW w:w="2493" w:type="dxa"/>
            <w:vMerge/>
            <w:shd w:val="clear" w:color="auto" w:fill="auto"/>
          </w:tcPr>
          <w:p w:rsidR="000B3226" w:rsidRDefault="000B3226" w:rsidP="00F73A21">
            <w:pPr>
              <w:rPr>
                <w:rFonts w:ascii="Tahoma" w:hAnsi="Tahoma" w:cs="Tahoma"/>
              </w:rPr>
            </w:pPr>
          </w:p>
        </w:tc>
      </w:tr>
      <w:tr w:rsidR="000B3226" w:rsidTr="003A5691">
        <w:trPr>
          <w:trHeight w:val="249"/>
        </w:trPr>
        <w:tc>
          <w:tcPr>
            <w:tcW w:w="5467" w:type="dxa"/>
          </w:tcPr>
          <w:p w:rsidR="000B3226" w:rsidRPr="00C94C4B" w:rsidRDefault="00710FC4" w:rsidP="000B3226">
            <w:pPr>
              <w:pStyle w:val="Prrafodelista"/>
              <w:numPr>
                <w:ilvl w:val="0"/>
                <w:numId w:val="3"/>
              </w:numPr>
              <w:spacing w:after="0" w:line="360" w:lineRule="auto"/>
            </w:pPr>
            <w:r>
              <w:t>Obra 4</w:t>
            </w:r>
          </w:p>
        </w:tc>
        <w:tc>
          <w:tcPr>
            <w:tcW w:w="2493" w:type="dxa"/>
            <w:vMerge/>
            <w:tcBorders>
              <w:bottom w:val="single" w:sz="4" w:space="0" w:color="auto"/>
            </w:tcBorders>
            <w:shd w:val="clear" w:color="auto" w:fill="auto"/>
          </w:tcPr>
          <w:p w:rsidR="000B3226" w:rsidRDefault="000B3226" w:rsidP="00F73A21">
            <w:pPr>
              <w:rPr>
                <w:rFonts w:ascii="Tahoma" w:hAnsi="Tahoma" w:cs="Tahoma"/>
              </w:rPr>
            </w:pPr>
          </w:p>
        </w:tc>
      </w:tr>
    </w:tbl>
    <w:p w:rsidR="00345827" w:rsidRPr="00345827" w:rsidRDefault="00345827" w:rsidP="00345827">
      <w:pPr>
        <w:pStyle w:val="NormalWeb"/>
        <w:spacing w:line="276" w:lineRule="auto"/>
        <w:ind w:left="360"/>
        <w:jc w:val="both"/>
        <w:rPr>
          <w:rFonts w:ascii="Tahoma" w:hAnsi="Tahoma" w:cs="Tahoma"/>
        </w:rPr>
      </w:pPr>
      <w:r>
        <w:rPr>
          <w:rFonts w:ascii="Tahoma" w:hAnsi="Tahoma" w:cs="Tahoma"/>
        </w:rPr>
        <w:t>En base a esos datos, puede elaborarse una metodología para determinar el quantum de la reparación a favor del Estado.</w:t>
      </w:r>
    </w:p>
    <w:p w:rsidR="000B3226" w:rsidRPr="00E963DD" w:rsidRDefault="000B3226" w:rsidP="000B3226">
      <w:pPr>
        <w:pStyle w:val="NormalWeb"/>
        <w:numPr>
          <w:ilvl w:val="0"/>
          <w:numId w:val="1"/>
        </w:numPr>
        <w:jc w:val="both"/>
        <w:rPr>
          <w:rFonts w:ascii="Tahoma" w:hAnsi="Tahoma" w:cs="Tahoma"/>
          <w:b/>
        </w:rPr>
      </w:pPr>
      <w:r>
        <w:rPr>
          <w:rFonts w:ascii="Tahoma" w:hAnsi="Tahoma" w:cs="Tahoma"/>
          <w:b/>
        </w:rPr>
        <w:t>Propuesta</w:t>
      </w:r>
      <w:r w:rsidRPr="00E963DD">
        <w:rPr>
          <w:rFonts w:ascii="Tahoma" w:hAnsi="Tahoma" w:cs="Tahoma"/>
          <w:b/>
        </w:rPr>
        <w:t xml:space="preserve"> y análisis.</w:t>
      </w:r>
    </w:p>
    <w:p w:rsidR="000B3226" w:rsidRPr="00E963DD" w:rsidRDefault="00474FC3" w:rsidP="000B3226">
      <w:pPr>
        <w:pStyle w:val="NormalWeb"/>
        <w:spacing w:line="276" w:lineRule="auto"/>
        <w:ind w:left="360"/>
        <w:jc w:val="both"/>
        <w:rPr>
          <w:rFonts w:ascii="Tahoma" w:hAnsi="Tahoma" w:cs="Tahoma"/>
        </w:rPr>
      </w:pPr>
      <w:r>
        <w:rPr>
          <w:rFonts w:ascii="Tahoma" w:hAnsi="Tahoma" w:cs="Tahoma"/>
        </w:rPr>
        <w:t>D</w:t>
      </w:r>
      <w:r w:rsidR="000B3226" w:rsidRPr="00E963DD">
        <w:rPr>
          <w:rFonts w:ascii="Tahoma" w:hAnsi="Tahoma" w:cs="Tahoma"/>
        </w:rPr>
        <w:t>ebe precisar dos conceptos “hecho ilícito” y “sanción”. El primero refiere, en términos genéricos, a la contravención de las normas y el segundo a la consecuencia de las mismas.</w:t>
      </w:r>
      <w:r w:rsidR="000B3226">
        <w:rPr>
          <w:rFonts w:ascii="Tahoma" w:hAnsi="Tahoma" w:cs="Tahoma"/>
        </w:rPr>
        <w:t xml:space="preserve"> </w:t>
      </w:r>
      <w:r w:rsidR="000B3226" w:rsidRPr="00E963DD">
        <w:rPr>
          <w:rFonts w:ascii="Tahoma" w:hAnsi="Tahoma" w:cs="Tahoma"/>
        </w:rPr>
        <w:t xml:space="preserve">Asimismo, es necesario indicar que todo sistema punitivo, en esencia, tiene una naturaleza </w:t>
      </w:r>
      <w:r w:rsidR="000B3226" w:rsidRPr="00E963DD">
        <w:rPr>
          <w:rFonts w:ascii="Tahoma" w:hAnsi="Tahoma" w:cs="Tahoma"/>
          <w:b/>
        </w:rPr>
        <w:t>disuasiva</w:t>
      </w:r>
      <w:r w:rsidR="000B3226" w:rsidRPr="00E963DD">
        <w:rPr>
          <w:rFonts w:ascii="Tahoma" w:hAnsi="Tahoma" w:cs="Tahoma"/>
        </w:rPr>
        <w:t xml:space="preserve"> (preventivo) y </w:t>
      </w:r>
      <w:r w:rsidR="000B3226" w:rsidRPr="00E963DD">
        <w:rPr>
          <w:rFonts w:ascii="Tahoma" w:hAnsi="Tahoma" w:cs="Tahoma"/>
          <w:b/>
        </w:rPr>
        <w:t>represiva</w:t>
      </w:r>
      <w:r w:rsidR="000B3226" w:rsidRPr="00E963DD">
        <w:rPr>
          <w:rFonts w:ascii="Tahoma" w:hAnsi="Tahoma" w:cs="Tahoma"/>
        </w:rPr>
        <w:t xml:space="preserve">, es decir, pretende evitar la comisión de ilícitos y, eventualmente, castigar su </w:t>
      </w:r>
      <w:r w:rsidR="000B3226" w:rsidRPr="00927833">
        <w:rPr>
          <w:rFonts w:ascii="Tahoma" w:hAnsi="Tahoma" w:cs="Tahoma"/>
        </w:rPr>
        <w:t>comisión</w:t>
      </w:r>
      <w:r w:rsidR="000B3226" w:rsidRPr="00E963DD">
        <w:rPr>
          <w:rFonts w:ascii="Tahoma" w:hAnsi="Tahoma" w:cs="Tahoma"/>
        </w:rPr>
        <w:t>.</w:t>
      </w:r>
    </w:p>
    <w:p w:rsidR="000B3226" w:rsidRPr="00E963DD" w:rsidRDefault="000B3226" w:rsidP="000B3226">
      <w:pPr>
        <w:pStyle w:val="NormalWeb"/>
        <w:spacing w:line="276" w:lineRule="auto"/>
        <w:ind w:left="360"/>
        <w:jc w:val="both"/>
        <w:rPr>
          <w:rFonts w:ascii="Tahoma" w:hAnsi="Tahoma" w:cs="Tahoma"/>
        </w:rPr>
      </w:pPr>
      <w:r w:rsidRPr="00E963DD">
        <w:rPr>
          <w:rFonts w:ascii="Tahoma" w:hAnsi="Tahoma" w:cs="Tahoma"/>
        </w:rPr>
        <w:t xml:space="preserve">Ahora bien, en un escenario de racionalidad toda sanción a imponer debe evitar que la actividad ilícita sea más rentable que dar cumplimiento a lo dispuesto por el ordenamiento, toda vez que </w:t>
      </w:r>
      <w:r w:rsidRPr="00E963DD">
        <w:rPr>
          <w:rFonts w:ascii="Tahoma" w:hAnsi="Tahoma" w:cs="Tahoma"/>
          <w:i/>
        </w:rPr>
        <w:t>“(...) una persona comete un agravio si la utilidad esperada excede la utilidad que obtendría empleando su tiempo y recursos en otras actividades”</w:t>
      </w:r>
      <w:r w:rsidRPr="00E963DD">
        <w:rPr>
          <w:rStyle w:val="Refdenotaalpie"/>
          <w:rFonts w:ascii="Tahoma" w:hAnsi="Tahoma" w:cs="Tahoma"/>
          <w:i/>
        </w:rPr>
        <w:footnoteReference w:id="2"/>
      </w:r>
      <w:r w:rsidRPr="00E963DD">
        <w:rPr>
          <w:rFonts w:ascii="Tahoma" w:hAnsi="Tahoma" w:cs="Tahoma"/>
          <w:i/>
        </w:rPr>
        <w:t xml:space="preserve">, </w:t>
      </w:r>
      <w:r w:rsidRPr="00E963DD">
        <w:rPr>
          <w:rFonts w:ascii="Tahoma" w:hAnsi="Tahoma" w:cs="Tahoma"/>
        </w:rPr>
        <w:t>es decir, tendré más incentivos de incurrir en hechos ilícitos si mis costos son muy bajos en relación a las ganancias que obtendría.</w:t>
      </w:r>
    </w:p>
    <w:p w:rsidR="000B3226" w:rsidRPr="00E963DD" w:rsidRDefault="000B3226" w:rsidP="000B3226">
      <w:pPr>
        <w:pStyle w:val="NormalWeb"/>
        <w:spacing w:line="276" w:lineRule="auto"/>
        <w:ind w:left="360"/>
        <w:jc w:val="both"/>
        <w:rPr>
          <w:rFonts w:ascii="Tahoma" w:hAnsi="Tahoma" w:cs="Tahoma"/>
        </w:rPr>
      </w:pPr>
      <w:r w:rsidRPr="00E963DD">
        <w:rPr>
          <w:rFonts w:ascii="Tahoma" w:hAnsi="Tahoma" w:cs="Tahoma"/>
        </w:rPr>
        <w:t xml:space="preserve">Además, toda sanción que pretenda disuadir y reprimir conductas ilegales debe tener en consideración que las personas racionales tendrán mayores </w:t>
      </w:r>
      <w:r w:rsidRPr="00E963DD">
        <w:rPr>
          <w:rFonts w:ascii="Tahoma" w:hAnsi="Tahoma" w:cs="Tahoma"/>
        </w:rPr>
        <w:lastRenderedPageBreak/>
        <w:t>incentivos de incurrir en hechos ilícitos cuando la probabilidad de ser detectado, procesado y sancionado es baja, en</w:t>
      </w:r>
      <w:r w:rsidR="00474FC3">
        <w:rPr>
          <w:rFonts w:ascii="Tahoma" w:hAnsi="Tahoma" w:cs="Tahoma"/>
        </w:rPr>
        <w:t xml:space="preserve"> </w:t>
      </w:r>
      <w:r w:rsidRPr="00E963DD">
        <w:rPr>
          <w:rFonts w:ascii="Tahoma" w:hAnsi="Tahoma" w:cs="Tahoma"/>
        </w:rPr>
        <w:t xml:space="preserve">sentido, contrario, si un Estado es eficiente y eficaz en detectar, enjuiciar y sancionar a los delincuentes serán escasas las motivaciones de delinquir.      </w:t>
      </w:r>
    </w:p>
    <w:p w:rsidR="000B3226" w:rsidRPr="00E963DD" w:rsidRDefault="000B3226" w:rsidP="000B3226">
      <w:pPr>
        <w:pStyle w:val="NormalWeb"/>
        <w:spacing w:line="276" w:lineRule="auto"/>
        <w:ind w:left="360"/>
        <w:jc w:val="both"/>
        <w:rPr>
          <w:rFonts w:ascii="Tahoma" w:hAnsi="Tahoma" w:cs="Tahoma"/>
          <w:i/>
        </w:rPr>
      </w:pPr>
      <w:r w:rsidRPr="00E963DD">
        <w:rPr>
          <w:rFonts w:ascii="Tahoma" w:hAnsi="Tahoma" w:cs="Tahoma"/>
        </w:rPr>
        <w:t xml:space="preserve">En consecuencia, al momento de imponer una sanción sea cual fuere debe valorarse escrupulosamente el beneficio ilícito y la probabilidad de detección a efectos de determinar su cuantía.  </w:t>
      </w:r>
    </w:p>
    <w:p w:rsidR="000B3226" w:rsidRPr="00E963DD" w:rsidRDefault="000B3226" w:rsidP="000B3226">
      <w:pPr>
        <w:pStyle w:val="NormalWeb"/>
        <w:spacing w:line="276" w:lineRule="auto"/>
        <w:ind w:left="360"/>
        <w:jc w:val="both"/>
        <w:rPr>
          <w:rFonts w:ascii="Tahoma" w:hAnsi="Tahoma" w:cs="Tahoma"/>
        </w:rPr>
      </w:pPr>
      <w:r w:rsidRPr="00E963DD">
        <w:rPr>
          <w:rFonts w:ascii="Tahoma" w:hAnsi="Tahoma" w:cs="Tahoma"/>
        </w:rPr>
        <w:t xml:space="preserve">Según doctrina autorizada el pago de </w:t>
      </w:r>
      <w:r w:rsidRPr="004600FA">
        <w:rPr>
          <w:rFonts w:ascii="Tahoma" w:hAnsi="Tahoma" w:cs="Tahoma"/>
          <w:b/>
        </w:rPr>
        <w:t>la reparación civil tiene un efecto intimidatorio (disuasivo) y al igual que la pena en sentido estricto es una sanción</w:t>
      </w:r>
      <w:r w:rsidRPr="00E963DD">
        <w:rPr>
          <w:rStyle w:val="Refdenotaalpie"/>
          <w:rFonts w:ascii="Tahoma" w:hAnsi="Tahoma" w:cs="Tahoma"/>
        </w:rPr>
        <w:footnoteReference w:id="3"/>
      </w:r>
      <w:r w:rsidRPr="00E963DD">
        <w:rPr>
          <w:rFonts w:ascii="Tahoma" w:hAnsi="Tahoma" w:cs="Tahoma"/>
        </w:rPr>
        <w:t>.</w:t>
      </w:r>
      <w:r>
        <w:rPr>
          <w:rFonts w:ascii="Tahoma" w:hAnsi="Tahoma" w:cs="Tahoma"/>
        </w:rPr>
        <w:t xml:space="preserve"> </w:t>
      </w:r>
      <w:r w:rsidRPr="00E963DD">
        <w:rPr>
          <w:rFonts w:ascii="Tahoma" w:hAnsi="Tahoma" w:cs="Tahoma"/>
        </w:rPr>
        <w:t xml:space="preserve">En ese sentido, estando a la carencia de criterios para determinar el monto de reparaciones civiles en el marco de los acuerdos de colaboración eficaz resultaría válido aplicar las pautas expuestas precedentemente. </w:t>
      </w:r>
    </w:p>
    <w:p w:rsidR="000B3226" w:rsidRPr="00E963DD" w:rsidRDefault="000B3226" w:rsidP="000B3226">
      <w:pPr>
        <w:pStyle w:val="NormalWeb"/>
        <w:spacing w:line="276" w:lineRule="auto"/>
        <w:ind w:left="360"/>
        <w:jc w:val="both"/>
        <w:rPr>
          <w:rFonts w:ascii="Tahoma" w:hAnsi="Tahoma" w:cs="Tahoma"/>
        </w:rPr>
      </w:pPr>
      <w:r w:rsidRPr="00E963DD">
        <w:rPr>
          <w:rFonts w:ascii="Tahoma" w:hAnsi="Tahoma" w:cs="Tahoma"/>
        </w:rPr>
        <w:t xml:space="preserve">Para tal efecto, se ha de observar lo siguiente:  </w:t>
      </w:r>
    </w:p>
    <w:p w:rsidR="000B3226" w:rsidRPr="00E963DD" w:rsidRDefault="000B3226" w:rsidP="000B3226">
      <w:pPr>
        <w:pStyle w:val="NormalWeb"/>
        <w:spacing w:line="276" w:lineRule="auto"/>
        <w:ind w:left="360"/>
        <w:jc w:val="both"/>
        <w:rPr>
          <w:rFonts w:ascii="Tahoma" w:hAnsi="Tahoma" w:cs="Tahoma"/>
        </w:rPr>
      </w:pPr>
      <w:r w:rsidRPr="00E963DD">
        <w:rPr>
          <w:rFonts w:ascii="Tahoma" w:hAnsi="Tahoma" w:cs="Tahoma"/>
          <w:b/>
        </w:rPr>
        <w:t>El beneficio ilícito (B).-</w:t>
      </w:r>
      <w:r w:rsidRPr="00E963DD">
        <w:rPr>
          <w:rFonts w:ascii="Tahoma" w:hAnsi="Tahoma" w:cs="Tahoma"/>
        </w:rPr>
        <w:t xml:space="preserve"> Es el beneficio real obtenido producto de la comisión de hechos ilícitos, es decir, refiere a aquella ganancia que nunca debió generarse en un escenario de cumplimiento legal. Su cuantificación es sencilla en los hechos que generan rentabilidad. </w:t>
      </w:r>
    </w:p>
    <w:p w:rsidR="000B3226" w:rsidRDefault="000B3226" w:rsidP="000B3226">
      <w:pPr>
        <w:pStyle w:val="NormalWeb"/>
        <w:spacing w:line="276" w:lineRule="auto"/>
        <w:ind w:left="360"/>
        <w:jc w:val="both"/>
        <w:rPr>
          <w:rFonts w:ascii="Tahoma" w:hAnsi="Tahoma" w:cs="Tahoma"/>
        </w:rPr>
      </w:pPr>
      <w:r w:rsidRPr="00E963DD">
        <w:rPr>
          <w:rFonts w:ascii="Tahoma" w:hAnsi="Tahoma" w:cs="Tahoma"/>
          <w:b/>
        </w:rPr>
        <w:t>Probabilidad de detección (P</w:t>
      </w:r>
      <w:proofErr w:type="gramStart"/>
      <w:r w:rsidRPr="00E963DD">
        <w:rPr>
          <w:rFonts w:ascii="Tahoma" w:hAnsi="Tahoma" w:cs="Tahoma"/>
          <w:b/>
        </w:rPr>
        <w:t>).-</w:t>
      </w:r>
      <w:proofErr w:type="gramEnd"/>
      <w:r w:rsidRPr="00E963DD">
        <w:rPr>
          <w:rFonts w:ascii="Tahoma" w:hAnsi="Tahoma" w:cs="Tahoma"/>
        </w:rPr>
        <w:t xml:space="preserve"> Refiere a la posibilidad, medida en términos porcentuales, de que la comisión del hecho ilícito sea</w:t>
      </w:r>
      <w:r>
        <w:rPr>
          <w:rFonts w:ascii="Tahoma" w:hAnsi="Tahoma" w:cs="Tahoma"/>
        </w:rPr>
        <w:t xml:space="preserve"> </w:t>
      </w:r>
      <w:r>
        <w:rPr>
          <w:rFonts w:ascii="Tahoma" w:hAnsi="Tahoma" w:cs="Tahoma"/>
          <w:b/>
        </w:rPr>
        <w:t>detectado</w:t>
      </w:r>
      <w:r w:rsidRPr="004600FA">
        <w:rPr>
          <w:rFonts w:ascii="Tahoma" w:hAnsi="Tahoma" w:cs="Tahoma"/>
          <w:b/>
        </w:rPr>
        <w:t>, enjuiciado y sancionado</w:t>
      </w:r>
      <w:r w:rsidRPr="00E963DD">
        <w:rPr>
          <w:rFonts w:ascii="Tahoma" w:hAnsi="Tahoma" w:cs="Tahoma"/>
        </w:rPr>
        <w:t>.</w:t>
      </w:r>
      <w:r>
        <w:rPr>
          <w:rFonts w:ascii="Tahoma" w:hAnsi="Tahoma" w:cs="Tahoma"/>
        </w:rPr>
        <w:t xml:space="preserve"> La elección y asignación de un valor (porcentaje) determinado debe ser motivado apelando a criterios como la </w:t>
      </w:r>
      <w:r w:rsidRPr="00277FDD">
        <w:rPr>
          <w:rFonts w:ascii="Tahoma" w:hAnsi="Tahoma" w:cs="Tahoma"/>
          <w:b/>
        </w:rPr>
        <w:t>complejidad del caso</w:t>
      </w:r>
      <w:r>
        <w:rPr>
          <w:rFonts w:ascii="Tahoma" w:hAnsi="Tahoma" w:cs="Tahoma"/>
        </w:rPr>
        <w:t xml:space="preserve">, </w:t>
      </w:r>
      <w:r w:rsidRPr="00C52889">
        <w:rPr>
          <w:rFonts w:ascii="Tahoma" w:hAnsi="Tahoma" w:cs="Tahoma"/>
          <w:b/>
        </w:rPr>
        <w:t>número de implicados</w:t>
      </w:r>
      <w:r>
        <w:rPr>
          <w:rFonts w:ascii="Tahoma" w:hAnsi="Tahoma" w:cs="Tahoma"/>
        </w:rPr>
        <w:t xml:space="preserve">, </w:t>
      </w:r>
      <w:r w:rsidRPr="00C52889">
        <w:rPr>
          <w:rFonts w:ascii="Tahoma" w:hAnsi="Tahoma" w:cs="Tahoma"/>
          <w:b/>
        </w:rPr>
        <w:t>eficacia estatal en la lucha contra la delincuencia</w:t>
      </w:r>
      <w:r>
        <w:rPr>
          <w:rFonts w:ascii="Tahoma" w:hAnsi="Tahoma" w:cs="Tahoma"/>
        </w:rPr>
        <w:t xml:space="preserve">, entre otros. </w:t>
      </w:r>
    </w:p>
    <w:p w:rsidR="000B3226" w:rsidRDefault="000B3226" w:rsidP="000B3226">
      <w:pPr>
        <w:pStyle w:val="NormalWeb"/>
        <w:spacing w:line="276" w:lineRule="auto"/>
        <w:ind w:left="360"/>
        <w:jc w:val="both"/>
        <w:rPr>
          <w:rFonts w:ascii="Tahoma" w:hAnsi="Tahoma" w:cs="Tahoma"/>
        </w:rPr>
      </w:pPr>
      <w:r>
        <w:rPr>
          <w:rFonts w:ascii="Tahoma" w:hAnsi="Tahoma" w:cs="Tahoma"/>
        </w:rPr>
        <w:t>En ese sentido, a modo de ejemplo, el factor (p) asume el valor de 1 cuando el 100 % de los hechos ilícitos son detectados, enjuiciados y sancionados por el Estado.</w:t>
      </w:r>
    </w:p>
    <w:p w:rsidR="000B3226" w:rsidRDefault="000B3226" w:rsidP="000B3226">
      <w:pPr>
        <w:pStyle w:val="NormalWeb"/>
        <w:spacing w:line="276" w:lineRule="auto"/>
        <w:ind w:firstLine="348"/>
        <w:jc w:val="both"/>
        <w:rPr>
          <w:rFonts w:ascii="Tahoma" w:hAnsi="Tahoma" w:cs="Tahoma"/>
        </w:rPr>
      </w:pPr>
      <w:r w:rsidRPr="00E963DD">
        <w:rPr>
          <w:rFonts w:ascii="Tahoma" w:hAnsi="Tahoma" w:cs="Tahoma"/>
        </w:rPr>
        <w:t>Puede asumir los siguientes valores:</w:t>
      </w:r>
    </w:p>
    <w:p w:rsidR="00477C4A" w:rsidRDefault="00477C4A" w:rsidP="000B3226">
      <w:pPr>
        <w:pStyle w:val="NormalWeb"/>
        <w:spacing w:line="276" w:lineRule="auto"/>
        <w:ind w:firstLine="348"/>
        <w:jc w:val="both"/>
        <w:rPr>
          <w:rFonts w:ascii="Tahoma" w:hAnsi="Tahoma" w:cs="Tahoma"/>
        </w:rPr>
      </w:pPr>
    </w:p>
    <w:tbl>
      <w:tblPr>
        <w:tblStyle w:val="Tablaconcuadrcula"/>
        <w:tblpPr w:leftFromText="141" w:rightFromText="141" w:vertAnchor="text" w:horzAnchor="page" w:tblpX="3088" w:tblpY="216"/>
        <w:tblW w:w="0" w:type="auto"/>
        <w:tblLook w:val="04A0" w:firstRow="1" w:lastRow="0" w:firstColumn="1" w:lastColumn="0" w:noHBand="0" w:noVBand="1"/>
      </w:tblPr>
      <w:tblGrid>
        <w:gridCol w:w="3991"/>
        <w:gridCol w:w="2687"/>
      </w:tblGrid>
      <w:tr w:rsidR="000B3226" w:rsidRPr="00E5713C" w:rsidTr="00F73A21">
        <w:trPr>
          <w:trHeight w:val="305"/>
        </w:trPr>
        <w:tc>
          <w:tcPr>
            <w:tcW w:w="3991" w:type="dxa"/>
            <w:shd w:val="clear" w:color="auto" w:fill="7F7F7F" w:themeFill="text1" w:themeFillTint="80"/>
          </w:tcPr>
          <w:p w:rsidR="000B3226" w:rsidRPr="00E5713C" w:rsidRDefault="000B3226" w:rsidP="00F73A21">
            <w:pPr>
              <w:jc w:val="center"/>
              <w:rPr>
                <w:rFonts w:ascii="Tahoma" w:hAnsi="Tahoma" w:cs="Tahoma"/>
                <w:b/>
                <w:color w:val="FFFFFF" w:themeColor="background1"/>
                <w:sz w:val="20"/>
                <w:szCs w:val="20"/>
              </w:rPr>
            </w:pPr>
            <w:r w:rsidRPr="00E5713C">
              <w:rPr>
                <w:rFonts w:ascii="Tahoma" w:hAnsi="Tahoma" w:cs="Tahoma"/>
                <w:b/>
                <w:color w:val="FFFFFF" w:themeColor="background1"/>
                <w:sz w:val="20"/>
                <w:szCs w:val="20"/>
              </w:rPr>
              <w:lastRenderedPageBreak/>
              <w:t>NIVEL DE PROBABILIDAD</w:t>
            </w:r>
          </w:p>
        </w:tc>
        <w:tc>
          <w:tcPr>
            <w:tcW w:w="2687" w:type="dxa"/>
            <w:shd w:val="clear" w:color="auto" w:fill="7F7F7F" w:themeFill="text1" w:themeFillTint="80"/>
          </w:tcPr>
          <w:p w:rsidR="000B3226" w:rsidRPr="00E5713C" w:rsidRDefault="000B3226" w:rsidP="00F73A21">
            <w:pPr>
              <w:jc w:val="center"/>
              <w:rPr>
                <w:rFonts w:ascii="Tahoma" w:hAnsi="Tahoma" w:cs="Tahoma"/>
                <w:b/>
                <w:color w:val="FFFFFF" w:themeColor="background1"/>
                <w:sz w:val="20"/>
                <w:szCs w:val="20"/>
              </w:rPr>
            </w:pPr>
            <w:r w:rsidRPr="00E5713C">
              <w:rPr>
                <w:rFonts w:ascii="Tahoma" w:hAnsi="Tahoma" w:cs="Tahoma"/>
                <w:b/>
                <w:color w:val="FFFFFF" w:themeColor="background1"/>
                <w:sz w:val="20"/>
                <w:szCs w:val="20"/>
              </w:rPr>
              <w:t>FACTOR (porcentaje de probabilidad)</w:t>
            </w:r>
          </w:p>
        </w:tc>
      </w:tr>
      <w:tr w:rsidR="000B3226" w:rsidRPr="00E5713C" w:rsidTr="00F73A21">
        <w:trPr>
          <w:trHeight w:val="305"/>
        </w:trPr>
        <w:tc>
          <w:tcPr>
            <w:tcW w:w="3991" w:type="dxa"/>
          </w:tcPr>
          <w:p w:rsidR="000B3226" w:rsidRPr="00E5713C" w:rsidRDefault="000B3226" w:rsidP="00F73A21">
            <w:pPr>
              <w:jc w:val="both"/>
              <w:rPr>
                <w:rFonts w:ascii="Tahoma" w:hAnsi="Tahoma" w:cs="Tahoma"/>
                <w:sz w:val="20"/>
                <w:szCs w:val="20"/>
              </w:rPr>
            </w:pPr>
            <w:r w:rsidRPr="00E5713C">
              <w:rPr>
                <w:rFonts w:ascii="Tahoma" w:hAnsi="Tahoma" w:cs="Tahoma"/>
                <w:sz w:val="20"/>
                <w:szCs w:val="20"/>
              </w:rPr>
              <w:t>TOTAL O MUY ALTA</w:t>
            </w:r>
          </w:p>
        </w:tc>
        <w:tc>
          <w:tcPr>
            <w:tcW w:w="2687" w:type="dxa"/>
          </w:tcPr>
          <w:p w:rsidR="000B3226" w:rsidRPr="00E5713C" w:rsidRDefault="000B3226" w:rsidP="00F73A21">
            <w:pPr>
              <w:jc w:val="center"/>
              <w:rPr>
                <w:rFonts w:ascii="Tahoma" w:hAnsi="Tahoma" w:cs="Tahoma"/>
                <w:sz w:val="20"/>
                <w:szCs w:val="20"/>
              </w:rPr>
            </w:pPr>
            <w:r w:rsidRPr="00E5713C">
              <w:rPr>
                <w:rFonts w:ascii="Tahoma" w:hAnsi="Tahoma" w:cs="Tahoma"/>
                <w:sz w:val="20"/>
                <w:szCs w:val="20"/>
              </w:rPr>
              <w:t>1 (100%)</w:t>
            </w:r>
          </w:p>
        </w:tc>
      </w:tr>
      <w:tr w:rsidR="000B3226" w:rsidRPr="00E5713C" w:rsidTr="00F73A21">
        <w:trPr>
          <w:trHeight w:val="319"/>
        </w:trPr>
        <w:tc>
          <w:tcPr>
            <w:tcW w:w="3991" w:type="dxa"/>
          </w:tcPr>
          <w:p w:rsidR="000B3226" w:rsidRPr="00E5713C" w:rsidRDefault="000B3226" w:rsidP="00F73A21">
            <w:pPr>
              <w:jc w:val="both"/>
              <w:rPr>
                <w:rFonts w:ascii="Tahoma" w:hAnsi="Tahoma" w:cs="Tahoma"/>
                <w:sz w:val="20"/>
                <w:szCs w:val="20"/>
              </w:rPr>
            </w:pPr>
            <w:r w:rsidRPr="00E5713C">
              <w:rPr>
                <w:rFonts w:ascii="Tahoma" w:hAnsi="Tahoma" w:cs="Tahoma"/>
                <w:sz w:val="20"/>
                <w:szCs w:val="20"/>
              </w:rPr>
              <w:t>ALTA</w:t>
            </w:r>
          </w:p>
        </w:tc>
        <w:tc>
          <w:tcPr>
            <w:tcW w:w="2687" w:type="dxa"/>
          </w:tcPr>
          <w:p w:rsidR="000B3226" w:rsidRPr="00E5713C" w:rsidRDefault="000B3226" w:rsidP="00F73A21">
            <w:pPr>
              <w:jc w:val="center"/>
              <w:rPr>
                <w:rFonts w:ascii="Tahoma" w:hAnsi="Tahoma" w:cs="Tahoma"/>
                <w:sz w:val="20"/>
                <w:szCs w:val="20"/>
              </w:rPr>
            </w:pPr>
            <w:r w:rsidRPr="00E5713C">
              <w:rPr>
                <w:rFonts w:ascii="Tahoma" w:hAnsi="Tahoma" w:cs="Tahoma"/>
                <w:sz w:val="20"/>
                <w:szCs w:val="20"/>
              </w:rPr>
              <w:t>0,75 (75%)</w:t>
            </w:r>
          </w:p>
        </w:tc>
      </w:tr>
      <w:tr w:rsidR="000B3226" w:rsidRPr="00E5713C" w:rsidTr="00F73A21">
        <w:trPr>
          <w:trHeight w:val="305"/>
        </w:trPr>
        <w:tc>
          <w:tcPr>
            <w:tcW w:w="3991" w:type="dxa"/>
          </w:tcPr>
          <w:p w:rsidR="000B3226" w:rsidRPr="00E5713C" w:rsidRDefault="000B3226" w:rsidP="00F73A21">
            <w:pPr>
              <w:jc w:val="both"/>
              <w:rPr>
                <w:rFonts w:ascii="Tahoma" w:hAnsi="Tahoma" w:cs="Tahoma"/>
                <w:sz w:val="20"/>
                <w:szCs w:val="20"/>
              </w:rPr>
            </w:pPr>
            <w:r w:rsidRPr="00E5713C">
              <w:rPr>
                <w:rFonts w:ascii="Tahoma" w:hAnsi="Tahoma" w:cs="Tahoma"/>
                <w:sz w:val="20"/>
                <w:szCs w:val="20"/>
              </w:rPr>
              <w:t>MEDIA</w:t>
            </w:r>
          </w:p>
        </w:tc>
        <w:tc>
          <w:tcPr>
            <w:tcW w:w="2687" w:type="dxa"/>
          </w:tcPr>
          <w:p w:rsidR="000B3226" w:rsidRPr="00E5713C" w:rsidRDefault="000B3226" w:rsidP="00F73A21">
            <w:pPr>
              <w:jc w:val="center"/>
              <w:rPr>
                <w:rFonts w:ascii="Tahoma" w:hAnsi="Tahoma" w:cs="Tahoma"/>
                <w:sz w:val="20"/>
                <w:szCs w:val="20"/>
              </w:rPr>
            </w:pPr>
            <w:r w:rsidRPr="00E5713C">
              <w:rPr>
                <w:rFonts w:ascii="Tahoma" w:hAnsi="Tahoma" w:cs="Tahoma"/>
                <w:sz w:val="20"/>
                <w:szCs w:val="20"/>
              </w:rPr>
              <w:t>0,5 (50%)</w:t>
            </w:r>
          </w:p>
        </w:tc>
      </w:tr>
      <w:tr w:rsidR="000B3226" w:rsidRPr="00E5713C" w:rsidTr="00F73A21">
        <w:trPr>
          <w:trHeight w:val="305"/>
        </w:trPr>
        <w:tc>
          <w:tcPr>
            <w:tcW w:w="3991" w:type="dxa"/>
          </w:tcPr>
          <w:p w:rsidR="000B3226" w:rsidRPr="00E5713C" w:rsidRDefault="000B3226" w:rsidP="00F73A21">
            <w:pPr>
              <w:jc w:val="both"/>
              <w:rPr>
                <w:rFonts w:ascii="Tahoma" w:hAnsi="Tahoma" w:cs="Tahoma"/>
                <w:sz w:val="20"/>
                <w:szCs w:val="20"/>
              </w:rPr>
            </w:pPr>
            <w:r w:rsidRPr="00E5713C">
              <w:rPr>
                <w:rFonts w:ascii="Tahoma" w:hAnsi="Tahoma" w:cs="Tahoma"/>
                <w:sz w:val="20"/>
                <w:szCs w:val="20"/>
              </w:rPr>
              <w:t>BAJA</w:t>
            </w:r>
          </w:p>
        </w:tc>
        <w:tc>
          <w:tcPr>
            <w:tcW w:w="2687" w:type="dxa"/>
          </w:tcPr>
          <w:p w:rsidR="000B3226" w:rsidRPr="00E5713C" w:rsidRDefault="000B3226" w:rsidP="00F73A21">
            <w:pPr>
              <w:jc w:val="center"/>
              <w:rPr>
                <w:rFonts w:ascii="Tahoma" w:hAnsi="Tahoma" w:cs="Tahoma"/>
                <w:sz w:val="20"/>
                <w:szCs w:val="20"/>
              </w:rPr>
            </w:pPr>
            <w:r w:rsidRPr="00E5713C">
              <w:rPr>
                <w:rFonts w:ascii="Tahoma" w:hAnsi="Tahoma" w:cs="Tahoma"/>
                <w:sz w:val="20"/>
                <w:szCs w:val="20"/>
              </w:rPr>
              <w:t>0,25 (25%)</w:t>
            </w:r>
          </w:p>
        </w:tc>
      </w:tr>
      <w:tr w:rsidR="000B3226" w:rsidRPr="00E5713C" w:rsidTr="00F73A21">
        <w:trPr>
          <w:trHeight w:val="305"/>
        </w:trPr>
        <w:tc>
          <w:tcPr>
            <w:tcW w:w="3991" w:type="dxa"/>
          </w:tcPr>
          <w:p w:rsidR="000B3226" w:rsidRPr="00E5713C" w:rsidRDefault="000B3226" w:rsidP="00F73A21">
            <w:pPr>
              <w:jc w:val="both"/>
              <w:rPr>
                <w:rFonts w:ascii="Tahoma" w:hAnsi="Tahoma" w:cs="Tahoma"/>
                <w:sz w:val="20"/>
                <w:szCs w:val="20"/>
              </w:rPr>
            </w:pPr>
            <w:r w:rsidRPr="00E5713C">
              <w:rPr>
                <w:rFonts w:ascii="Tahoma" w:hAnsi="Tahoma" w:cs="Tahoma"/>
                <w:sz w:val="20"/>
                <w:szCs w:val="20"/>
              </w:rPr>
              <w:t>MUY BAJA</w:t>
            </w:r>
          </w:p>
        </w:tc>
        <w:tc>
          <w:tcPr>
            <w:tcW w:w="2687" w:type="dxa"/>
          </w:tcPr>
          <w:p w:rsidR="000B3226" w:rsidRPr="00E5713C" w:rsidRDefault="000B3226" w:rsidP="00F73A21">
            <w:pPr>
              <w:jc w:val="center"/>
              <w:rPr>
                <w:rFonts w:ascii="Tahoma" w:hAnsi="Tahoma" w:cs="Tahoma"/>
                <w:sz w:val="20"/>
                <w:szCs w:val="20"/>
              </w:rPr>
            </w:pPr>
            <w:r w:rsidRPr="00E5713C">
              <w:rPr>
                <w:rFonts w:ascii="Tahoma" w:hAnsi="Tahoma" w:cs="Tahoma"/>
                <w:sz w:val="20"/>
                <w:szCs w:val="20"/>
              </w:rPr>
              <w:t>0,1 (10%)</w:t>
            </w:r>
          </w:p>
        </w:tc>
      </w:tr>
    </w:tbl>
    <w:p w:rsidR="000B3226" w:rsidRDefault="000B3226" w:rsidP="000B3226">
      <w:pPr>
        <w:pStyle w:val="NormalWeb"/>
        <w:spacing w:line="276" w:lineRule="auto"/>
        <w:jc w:val="both"/>
        <w:rPr>
          <w:rFonts w:ascii="Tahoma" w:hAnsi="Tahoma" w:cs="Tahoma"/>
        </w:rPr>
      </w:pPr>
    </w:p>
    <w:p w:rsidR="000B3226" w:rsidRDefault="000B3226" w:rsidP="000B3226">
      <w:pPr>
        <w:pStyle w:val="NormalWeb"/>
        <w:spacing w:line="276" w:lineRule="auto"/>
        <w:jc w:val="both"/>
        <w:rPr>
          <w:rFonts w:ascii="Tahoma" w:hAnsi="Tahoma" w:cs="Tahoma"/>
        </w:rPr>
      </w:pPr>
    </w:p>
    <w:p w:rsidR="000B3226" w:rsidRDefault="000B3226" w:rsidP="000B3226">
      <w:pPr>
        <w:pStyle w:val="NormalWeb"/>
        <w:spacing w:line="276" w:lineRule="auto"/>
        <w:jc w:val="both"/>
        <w:rPr>
          <w:rFonts w:ascii="Tahoma" w:hAnsi="Tahoma" w:cs="Tahoma"/>
        </w:rPr>
      </w:pPr>
    </w:p>
    <w:p w:rsidR="000B3226" w:rsidRDefault="000B3226" w:rsidP="000B3226">
      <w:pPr>
        <w:pStyle w:val="NormalWeb"/>
        <w:spacing w:line="276" w:lineRule="auto"/>
        <w:jc w:val="both"/>
        <w:rPr>
          <w:rFonts w:ascii="Tahoma" w:hAnsi="Tahoma" w:cs="Tahoma"/>
        </w:rPr>
      </w:pPr>
    </w:p>
    <w:p w:rsidR="000B3226" w:rsidRDefault="000B3226" w:rsidP="000B3226">
      <w:pPr>
        <w:pStyle w:val="NormalWeb"/>
        <w:spacing w:line="276" w:lineRule="auto"/>
        <w:jc w:val="both"/>
        <w:rPr>
          <w:rFonts w:ascii="Tahoma" w:hAnsi="Tahoma" w:cs="Tahoma"/>
        </w:rPr>
      </w:pPr>
    </w:p>
    <w:p w:rsidR="00477C4A" w:rsidRDefault="00477C4A" w:rsidP="000B3226">
      <w:pPr>
        <w:pStyle w:val="NormalWeb"/>
        <w:spacing w:line="276" w:lineRule="auto"/>
        <w:ind w:left="348"/>
        <w:jc w:val="both"/>
        <w:rPr>
          <w:rFonts w:ascii="Tahoma" w:hAnsi="Tahoma" w:cs="Tahoma"/>
          <w:b/>
        </w:rPr>
      </w:pPr>
    </w:p>
    <w:p w:rsidR="00477C4A" w:rsidRDefault="00477C4A" w:rsidP="000B3226">
      <w:pPr>
        <w:pStyle w:val="NormalWeb"/>
        <w:spacing w:line="276" w:lineRule="auto"/>
        <w:ind w:left="348"/>
        <w:jc w:val="both"/>
        <w:rPr>
          <w:rFonts w:ascii="Tahoma" w:hAnsi="Tahoma" w:cs="Tahoma"/>
          <w:b/>
        </w:rPr>
      </w:pPr>
    </w:p>
    <w:p w:rsidR="000B3226" w:rsidRPr="00E963DD" w:rsidRDefault="000B3226" w:rsidP="000B3226">
      <w:pPr>
        <w:pStyle w:val="NormalWeb"/>
        <w:spacing w:line="276" w:lineRule="auto"/>
        <w:ind w:left="348"/>
        <w:jc w:val="both"/>
        <w:rPr>
          <w:rFonts w:ascii="Tahoma" w:hAnsi="Tahoma" w:cs="Tahoma"/>
        </w:rPr>
      </w:pPr>
      <w:r w:rsidRPr="00E963DD">
        <w:rPr>
          <w:rFonts w:ascii="Tahoma" w:hAnsi="Tahoma" w:cs="Tahoma"/>
          <w:b/>
        </w:rPr>
        <w:t>Sanción (S).-</w:t>
      </w:r>
      <w:r w:rsidRPr="00E963DD">
        <w:rPr>
          <w:rFonts w:ascii="Tahoma" w:hAnsi="Tahoma" w:cs="Tahoma"/>
        </w:rPr>
        <w:t xml:space="preserve"> Es el </w:t>
      </w:r>
      <w:r w:rsidRPr="00E963DD">
        <w:rPr>
          <w:rFonts w:ascii="Tahoma" w:hAnsi="Tahoma" w:cs="Tahoma"/>
          <w:i/>
        </w:rPr>
        <w:t>quantum</w:t>
      </w:r>
      <w:r w:rsidRPr="00E963DD">
        <w:rPr>
          <w:rFonts w:ascii="Tahoma" w:hAnsi="Tahoma" w:cs="Tahoma"/>
        </w:rPr>
        <w:t xml:space="preserve"> mínimo que se le podrá imponer a una persona por la comisión del hechos ilícitos. Se obtiene dividiendo el </w:t>
      </w:r>
      <w:r w:rsidRPr="00E963DD">
        <w:rPr>
          <w:rFonts w:ascii="Tahoma" w:hAnsi="Tahoma" w:cs="Tahoma"/>
          <w:b/>
        </w:rPr>
        <w:t>beneficio ilícito</w:t>
      </w:r>
      <w:r w:rsidRPr="00E963DD">
        <w:rPr>
          <w:rFonts w:ascii="Tahoma" w:hAnsi="Tahoma" w:cs="Tahoma"/>
        </w:rPr>
        <w:t xml:space="preserve"> entre la </w:t>
      </w:r>
      <w:r w:rsidRPr="00E963DD">
        <w:rPr>
          <w:rFonts w:ascii="Tahoma" w:hAnsi="Tahoma" w:cs="Tahoma"/>
          <w:b/>
        </w:rPr>
        <w:t>probabilidad de detección</w:t>
      </w:r>
      <w:r w:rsidRPr="00E963DD">
        <w:rPr>
          <w:rFonts w:ascii="Tahoma" w:hAnsi="Tahoma" w:cs="Tahoma"/>
        </w:rPr>
        <w:t>.</w:t>
      </w:r>
      <w:r>
        <w:rPr>
          <w:rFonts w:ascii="Tahoma" w:hAnsi="Tahoma" w:cs="Tahoma"/>
        </w:rPr>
        <w:t xml:space="preserve"> </w:t>
      </w:r>
      <w:r w:rsidRPr="00E963DD">
        <w:rPr>
          <w:rFonts w:ascii="Tahoma" w:hAnsi="Tahoma" w:cs="Tahoma"/>
          <w:b/>
        </w:rPr>
        <w:t>Entiéndase a la reparación civil como un tipo de sanción.</w:t>
      </w:r>
    </w:p>
    <w:p w:rsidR="000B3226" w:rsidRPr="00E963DD" w:rsidRDefault="000B3226" w:rsidP="000B3226">
      <w:pPr>
        <w:spacing w:after="0"/>
        <w:ind w:left="348"/>
        <w:jc w:val="both"/>
        <w:rPr>
          <w:rFonts w:ascii="Tahoma" w:eastAsia="Times New Roman" w:hAnsi="Tahoma" w:cs="Tahoma"/>
          <w:sz w:val="24"/>
          <w:szCs w:val="24"/>
          <w:lang w:val="es-ES" w:eastAsia="es-ES"/>
        </w:rPr>
      </w:pPr>
      <w:r w:rsidRPr="00E963DD">
        <w:rPr>
          <w:rFonts w:ascii="Tahoma" w:eastAsia="Times New Roman" w:hAnsi="Tahoma" w:cs="Tahoma"/>
          <w:sz w:val="24"/>
          <w:szCs w:val="24"/>
          <w:lang w:val="es-ES" w:eastAsia="es-ES"/>
        </w:rPr>
        <w:t xml:space="preserve">Lo expuesto </w:t>
      </w:r>
      <w:r w:rsidRPr="00E963DD">
        <w:rPr>
          <w:rFonts w:ascii="Tahoma" w:eastAsia="Times New Roman" w:hAnsi="Tahoma" w:cs="Tahoma"/>
          <w:i/>
          <w:sz w:val="24"/>
          <w:szCs w:val="24"/>
          <w:lang w:val="es-ES" w:eastAsia="es-ES"/>
        </w:rPr>
        <w:t>ut supra</w:t>
      </w:r>
      <w:r w:rsidRPr="00E963DD">
        <w:rPr>
          <w:rFonts w:ascii="Tahoma" w:eastAsia="Times New Roman" w:hAnsi="Tahoma" w:cs="Tahoma"/>
          <w:sz w:val="24"/>
          <w:szCs w:val="24"/>
          <w:lang w:val="es-ES" w:eastAsia="es-ES"/>
        </w:rPr>
        <w:t xml:space="preserve">, matemáticamente se expresa de la siguiente manera: </w:t>
      </w:r>
    </w:p>
    <w:p w:rsidR="000B3226" w:rsidRPr="00E963DD" w:rsidRDefault="000B3226" w:rsidP="000B3226">
      <w:pPr>
        <w:spacing w:after="0"/>
        <w:ind w:left="928"/>
        <w:jc w:val="both"/>
        <w:rPr>
          <w:rFonts w:ascii="Tahoma" w:eastAsia="Times New Roman" w:hAnsi="Tahoma" w:cs="Tahoma"/>
          <w:sz w:val="24"/>
          <w:szCs w:val="24"/>
          <w:lang w:val="es-ES" w:eastAsia="es-ES"/>
        </w:rPr>
      </w:pPr>
    </w:p>
    <w:p w:rsidR="000B3226" w:rsidRPr="00E963DD" w:rsidRDefault="000B3226" w:rsidP="000B3226">
      <w:pPr>
        <w:spacing w:after="0"/>
        <w:ind w:left="928"/>
        <w:jc w:val="both"/>
        <w:rPr>
          <w:rFonts w:ascii="Tahoma" w:eastAsia="Times New Roman" w:hAnsi="Tahoma" w:cs="Tahoma"/>
          <w:sz w:val="24"/>
          <w:szCs w:val="24"/>
          <w:lang w:val="es-ES" w:eastAsia="es-ES"/>
        </w:rPr>
      </w:pPr>
      <m:oMathPara>
        <m:oMathParaPr>
          <m:jc m:val="left"/>
        </m:oMathParaPr>
        <m:oMath>
          <m:r>
            <w:rPr>
              <w:rFonts w:ascii="Cambria Math" w:eastAsia="Times New Roman" w:hAnsi="Cambria Math" w:cs="Tahoma"/>
              <w:sz w:val="24"/>
              <w:szCs w:val="24"/>
              <w:lang w:val="es-ES" w:eastAsia="es-ES"/>
            </w:rPr>
            <m:t>S=</m:t>
          </m:r>
          <m:d>
            <m:dPr>
              <m:ctrlPr>
                <w:rPr>
                  <w:rFonts w:ascii="Cambria Math" w:eastAsia="Times New Roman" w:hAnsi="Cambria Math" w:cs="Tahoma"/>
                  <w:i/>
                  <w:sz w:val="24"/>
                  <w:szCs w:val="24"/>
                  <w:lang w:val="es-ES" w:eastAsia="es-ES"/>
                </w:rPr>
              </m:ctrlPr>
            </m:dPr>
            <m:e>
              <m:f>
                <m:fPr>
                  <m:ctrlPr>
                    <w:rPr>
                      <w:rFonts w:ascii="Cambria Math" w:eastAsia="Times New Roman" w:hAnsi="Cambria Math" w:cs="Tahoma"/>
                      <w:i/>
                      <w:sz w:val="24"/>
                      <w:szCs w:val="24"/>
                      <w:lang w:val="es-ES" w:eastAsia="es-ES"/>
                    </w:rPr>
                  </m:ctrlPr>
                </m:fPr>
                <m:num>
                  <m:r>
                    <w:rPr>
                      <w:rFonts w:ascii="Cambria Math" w:eastAsia="Times New Roman" w:hAnsi="Cambria Math" w:cs="Tahoma"/>
                      <w:sz w:val="24"/>
                      <w:szCs w:val="24"/>
                      <w:lang w:val="es-ES" w:eastAsia="es-ES"/>
                    </w:rPr>
                    <m:t>B</m:t>
                  </m:r>
                </m:num>
                <m:den>
                  <m:r>
                    <w:rPr>
                      <w:rFonts w:ascii="Cambria Math" w:eastAsia="Times New Roman" w:hAnsi="Cambria Math" w:cs="Tahoma"/>
                      <w:sz w:val="24"/>
                      <w:szCs w:val="24"/>
                      <w:lang w:val="es-ES" w:eastAsia="es-ES"/>
                    </w:rPr>
                    <m:t>p</m:t>
                  </m:r>
                </m:den>
              </m:f>
            </m:e>
          </m:d>
        </m:oMath>
      </m:oMathPara>
    </w:p>
    <w:p w:rsidR="000B3226" w:rsidRPr="00E963DD" w:rsidRDefault="000B3226" w:rsidP="000B3226">
      <w:pPr>
        <w:spacing w:after="0"/>
        <w:ind w:left="928"/>
        <w:jc w:val="both"/>
        <w:rPr>
          <w:rFonts w:ascii="Tahoma" w:eastAsia="Times New Roman" w:hAnsi="Tahoma" w:cs="Tahoma"/>
          <w:sz w:val="24"/>
          <w:szCs w:val="24"/>
          <w:lang w:val="es-ES" w:eastAsia="es-ES"/>
        </w:rPr>
      </w:pPr>
    </w:p>
    <w:p w:rsidR="000B3226" w:rsidRPr="00E963DD" w:rsidRDefault="000B3226" w:rsidP="000B3226">
      <w:pPr>
        <w:spacing w:after="0"/>
        <w:ind w:left="708" w:hanging="282"/>
        <w:jc w:val="both"/>
        <w:rPr>
          <w:rFonts w:ascii="Tahoma" w:eastAsia="Times New Roman" w:hAnsi="Tahoma" w:cs="Tahoma"/>
          <w:b/>
          <w:sz w:val="24"/>
          <w:szCs w:val="24"/>
          <w:lang w:val="es-ES" w:eastAsia="es-ES"/>
        </w:rPr>
      </w:pPr>
      <w:r w:rsidRPr="00E963DD">
        <w:rPr>
          <w:rFonts w:ascii="Tahoma" w:eastAsia="Times New Roman" w:hAnsi="Tahoma" w:cs="Tahoma"/>
          <w:b/>
          <w:sz w:val="24"/>
          <w:szCs w:val="24"/>
          <w:lang w:val="es-ES" w:eastAsia="es-ES"/>
        </w:rPr>
        <w:t>Donde:</w:t>
      </w:r>
    </w:p>
    <w:p w:rsidR="000B3226" w:rsidRPr="00E963DD" w:rsidRDefault="000B3226" w:rsidP="000B3226">
      <w:pPr>
        <w:spacing w:after="0"/>
        <w:ind w:left="708" w:hanging="282"/>
        <w:jc w:val="both"/>
        <w:rPr>
          <w:rFonts w:ascii="Tahoma" w:eastAsia="Times New Roman" w:hAnsi="Tahoma" w:cs="Tahoma"/>
          <w:sz w:val="24"/>
          <w:szCs w:val="24"/>
          <w:lang w:val="es-ES" w:eastAsia="es-ES"/>
        </w:rPr>
      </w:pPr>
      <w:r w:rsidRPr="00E963DD">
        <w:rPr>
          <w:rFonts w:ascii="Tahoma" w:eastAsia="Times New Roman" w:hAnsi="Tahoma" w:cs="Tahoma"/>
          <w:sz w:val="24"/>
          <w:szCs w:val="24"/>
          <w:lang w:val="es-ES" w:eastAsia="es-ES"/>
        </w:rPr>
        <w:t>S= Sanción (Reparación Civil)</w:t>
      </w:r>
    </w:p>
    <w:p w:rsidR="000B3226" w:rsidRPr="00E963DD" w:rsidRDefault="000B3226" w:rsidP="000B3226">
      <w:pPr>
        <w:spacing w:after="0"/>
        <w:ind w:left="708" w:hanging="282"/>
        <w:jc w:val="both"/>
        <w:rPr>
          <w:rFonts w:ascii="Tahoma" w:eastAsia="Times New Roman" w:hAnsi="Tahoma" w:cs="Tahoma"/>
          <w:sz w:val="24"/>
          <w:szCs w:val="24"/>
          <w:lang w:val="es-ES" w:eastAsia="es-ES"/>
        </w:rPr>
      </w:pPr>
      <w:r w:rsidRPr="00E963DD">
        <w:rPr>
          <w:rFonts w:ascii="Tahoma" w:eastAsia="Times New Roman" w:hAnsi="Tahoma" w:cs="Tahoma"/>
          <w:sz w:val="24"/>
          <w:szCs w:val="24"/>
          <w:lang w:val="es-ES" w:eastAsia="es-ES"/>
        </w:rPr>
        <w:t>B= Beneficio ilícito (obtenido por el administrado al incumplir la norma)</w:t>
      </w:r>
    </w:p>
    <w:p w:rsidR="000B3226" w:rsidRPr="00E963DD" w:rsidRDefault="000B3226" w:rsidP="000B3226">
      <w:pPr>
        <w:spacing w:after="0"/>
        <w:ind w:left="708" w:hanging="282"/>
        <w:jc w:val="both"/>
        <w:rPr>
          <w:rFonts w:ascii="Tahoma" w:eastAsia="Times New Roman" w:hAnsi="Tahoma" w:cs="Tahoma"/>
          <w:sz w:val="24"/>
          <w:szCs w:val="24"/>
          <w:lang w:val="es-ES" w:eastAsia="es-ES"/>
        </w:rPr>
      </w:pPr>
      <w:r w:rsidRPr="00E963DD">
        <w:rPr>
          <w:rFonts w:ascii="Tahoma" w:eastAsia="Times New Roman" w:hAnsi="Tahoma" w:cs="Tahoma"/>
          <w:sz w:val="24"/>
          <w:szCs w:val="24"/>
          <w:lang w:val="es-ES" w:eastAsia="es-ES"/>
        </w:rPr>
        <w:t>P= Probabilidad de detección</w:t>
      </w:r>
      <w:r>
        <w:rPr>
          <w:rFonts w:ascii="Tahoma" w:eastAsia="Times New Roman" w:hAnsi="Tahoma" w:cs="Tahoma"/>
          <w:sz w:val="24"/>
          <w:szCs w:val="24"/>
          <w:lang w:val="es-ES" w:eastAsia="es-ES"/>
        </w:rPr>
        <w:t xml:space="preserve"> (identificar criterios propios de la colaboración eficaz, naturaleza de los delitos, participación de la empresa, complejidad del caso a razón de la cantidad de personas involucradas, entre otros)</w:t>
      </w:r>
    </w:p>
    <w:p w:rsidR="000B3226" w:rsidRPr="00E963DD" w:rsidRDefault="000B3226" w:rsidP="000B3226">
      <w:pPr>
        <w:pStyle w:val="NormalWeb"/>
        <w:numPr>
          <w:ilvl w:val="0"/>
          <w:numId w:val="1"/>
        </w:numPr>
        <w:jc w:val="both"/>
        <w:rPr>
          <w:rFonts w:ascii="Tahoma" w:hAnsi="Tahoma" w:cs="Tahoma"/>
          <w:b/>
        </w:rPr>
      </w:pPr>
      <w:r w:rsidRPr="00E963DD">
        <w:rPr>
          <w:rFonts w:ascii="Tahoma" w:hAnsi="Tahoma" w:cs="Tahoma"/>
          <w:b/>
        </w:rPr>
        <w:t xml:space="preserve">Aplicación de la metodología </w:t>
      </w:r>
    </w:p>
    <w:p w:rsidR="000B3226" w:rsidRPr="00E963DD" w:rsidRDefault="000B3226" w:rsidP="000B3226">
      <w:pPr>
        <w:pStyle w:val="NormalWeb"/>
        <w:spacing w:line="276" w:lineRule="auto"/>
        <w:ind w:left="360"/>
        <w:jc w:val="both"/>
        <w:rPr>
          <w:rFonts w:ascii="Tahoma" w:hAnsi="Tahoma" w:cs="Tahoma"/>
          <w:lang w:val="es-ES" w:eastAsia="es-ES"/>
        </w:rPr>
      </w:pPr>
      <w:r w:rsidRPr="00E963DD">
        <w:rPr>
          <w:rFonts w:ascii="Tahoma" w:hAnsi="Tahoma" w:cs="Tahoma"/>
          <w:lang w:val="es-ES" w:eastAsia="es-ES"/>
        </w:rPr>
        <w:t xml:space="preserve">El beneficio ilícito se obtiene accediendo a la pericia contable o cualquier otro medio de prueba que contenga el monto de la ganancia neta percibida, este valor es objetivo.  </w:t>
      </w:r>
    </w:p>
    <w:p w:rsidR="000B3226" w:rsidRPr="00E963DD" w:rsidRDefault="000B3226" w:rsidP="000B3226">
      <w:pPr>
        <w:pStyle w:val="NormalWeb"/>
        <w:spacing w:line="276" w:lineRule="auto"/>
        <w:ind w:left="360"/>
        <w:jc w:val="both"/>
        <w:rPr>
          <w:rFonts w:ascii="Tahoma" w:hAnsi="Tahoma" w:cs="Tahoma"/>
          <w:lang w:val="es-ES" w:eastAsia="es-ES"/>
        </w:rPr>
      </w:pPr>
      <w:r w:rsidRPr="00E963DD">
        <w:rPr>
          <w:rFonts w:ascii="Tahoma" w:hAnsi="Tahoma" w:cs="Tahoma"/>
          <w:lang w:val="es-ES" w:eastAsia="es-ES"/>
        </w:rPr>
        <w:t>La probabilidad de detección asume valo</w:t>
      </w:r>
      <w:r>
        <w:rPr>
          <w:rFonts w:ascii="Tahoma" w:hAnsi="Tahoma" w:cs="Tahoma"/>
          <w:lang w:val="es-ES" w:eastAsia="es-ES"/>
        </w:rPr>
        <w:t>res de 0,1 a 1 dependiendo del caso</w:t>
      </w:r>
      <w:r w:rsidRPr="00E963DD">
        <w:rPr>
          <w:rFonts w:ascii="Tahoma" w:hAnsi="Tahoma" w:cs="Tahoma"/>
          <w:lang w:val="es-ES" w:eastAsia="es-ES"/>
        </w:rPr>
        <w:t>. La elección de un valor dentro de aquel rango amerita una</w:t>
      </w:r>
      <w:r>
        <w:rPr>
          <w:rFonts w:ascii="Tahoma" w:hAnsi="Tahoma" w:cs="Tahoma"/>
          <w:lang w:val="es-ES" w:eastAsia="es-ES"/>
        </w:rPr>
        <w:t xml:space="preserve"> debida</w:t>
      </w:r>
      <w:r w:rsidRPr="00E963DD">
        <w:rPr>
          <w:rFonts w:ascii="Tahoma" w:hAnsi="Tahoma" w:cs="Tahoma"/>
          <w:lang w:val="es-ES" w:eastAsia="es-ES"/>
        </w:rPr>
        <w:t xml:space="preserve"> motivación. </w:t>
      </w:r>
      <w:r w:rsidR="00FD04AC">
        <w:rPr>
          <w:rFonts w:ascii="Tahoma" w:hAnsi="Tahoma" w:cs="Tahoma"/>
          <w:lang w:val="es-ES" w:eastAsia="es-ES"/>
        </w:rPr>
        <w:t>En el caso de corrupción es muy claro que la capacidad de detección es muy bajo, dado que se desarrolla en un entorno diseñado p</w:t>
      </w:r>
      <w:r w:rsidR="00B92D11">
        <w:rPr>
          <w:rFonts w:ascii="Tahoma" w:hAnsi="Tahoma" w:cs="Tahoma"/>
          <w:lang w:val="es-ES" w:eastAsia="es-ES"/>
        </w:rPr>
        <w:t>ara ocultar dichas ilegalidades o bajo un patrón criminal muy complejo y sofisticado en cada una de las etapas de la contratación pública.</w:t>
      </w:r>
    </w:p>
    <w:p w:rsidR="000B3226" w:rsidRPr="00E963DD" w:rsidRDefault="000B3226" w:rsidP="000B3226">
      <w:pPr>
        <w:pStyle w:val="NormalWeb"/>
        <w:spacing w:line="276" w:lineRule="auto"/>
        <w:ind w:left="360"/>
        <w:jc w:val="both"/>
        <w:rPr>
          <w:rFonts w:ascii="Tahoma" w:hAnsi="Tahoma" w:cs="Tahoma"/>
          <w:lang w:val="es-ES" w:eastAsia="es-ES"/>
        </w:rPr>
      </w:pPr>
      <w:r w:rsidRPr="00E963DD">
        <w:rPr>
          <w:rFonts w:ascii="Tahoma" w:hAnsi="Tahoma" w:cs="Tahoma"/>
          <w:lang w:val="es-ES" w:eastAsia="es-ES"/>
        </w:rPr>
        <w:lastRenderedPageBreak/>
        <w:t xml:space="preserve">En el caso </w:t>
      </w:r>
      <w:r>
        <w:rPr>
          <w:rFonts w:ascii="Tahoma" w:hAnsi="Tahoma" w:cs="Tahoma"/>
          <w:lang w:val="es-ES" w:eastAsia="es-ES"/>
        </w:rPr>
        <w:t>concreto el beneficio ilícito asciende a</w:t>
      </w:r>
      <w:r w:rsidRPr="00E963DD">
        <w:rPr>
          <w:rFonts w:ascii="Tahoma" w:hAnsi="Tahoma" w:cs="Tahoma"/>
          <w:lang w:val="es-ES" w:eastAsia="es-ES"/>
        </w:rPr>
        <w:t xml:space="preserve"> </w:t>
      </w:r>
      <w:r w:rsidR="00474FC3">
        <w:rPr>
          <w:rFonts w:ascii="Tahoma" w:hAnsi="Tahoma" w:cs="Tahoma"/>
          <w:lang w:val="es-ES" w:eastAsia="es-ES"/>
        </w:rPr>
        <w:t>600, 000</w:t>
      </w:r>
      <w:r w:rsidRPr="00E963DD">
        <w:rPr>
          <w:rFonts w:ascii="Tahoma" w:hAnsi="Tahoma" w:cs="Tahoma"/>
          <w:lang w:val="es-ES" w:eastAsia="es-ES"/>
        </w:rPr>
        <w:t xml:space="preserve"> y la probabilida</w:t>
      </w:r>
      <w:r>
        <w:rPr>
          <w:rFonts w:ascii="Tahoma" w:hAnsi="Tahoma" w:cs="Tahoma"/>
          <w:lang w:val="es-ES" w:eastAsia="es-ES"/>
        </w:rPr>
        <w:t>d de detección, considerando la</w:t>
      </w:r>
      <w:r w:rsidRPr="00E963DD">
        <w:rPr>
          <w:rFonts w:ascii="Tahoma" w:hAnsi="Tahoma" w:cs="Tahoma"/>
          <w:lang w:val="es-ES" w:eastAsia="es-ES"/>
        </w:rPr>
        <w:t xml:space="preserve"> complejidad del caso</w:t>
      </w:r>
      <w:r>
        <w:rPr>
          <w:rFonts w:ascii="Tahoma" w:hAnsi="Tahoma" w:cs="Tahoma"/>
          <w:lang w:val="es-ES" w:eastAsia="es-ES"/>
        </w:rPr>
        <w:t xml:space="preserve">, número de potenciales implicados y la ausencia de eficacia estatal en la lucha contra </w:t>
      </w:r>
      <w:r w:rsidR="00FD04AC">
        <w:rPr>
          <w:rFonts w:ascii="Tahoma" w:hAnsi="Tahoma" w:cs="Tahoma"/>
          <w:lang w:val="es-ES" w:eastAsia="es-ES"/>
        </w:rPr>
        <w:t>este tipo de casos de gran envergadura</w:t>
      </w:r>
      <w:r>
        <w:rPr>
          <w:rFonts w:ascii="Tahoma" w:hAnsi="Tahoma" w:cs="Tahoma"/>
          <w:lang w:val="es-ES" w:eastAsia="es-ES"/>
        </w:rPr>
        <w:t xml:space="preserve">, </w:t>
      </w:r>
      <w:r w:rsidRPr="00E963DD">
        <w:rPr>
          <w:rFonts w:ascii="Tahoma" w:hAnsi="Tahoma" w:cs="Tahoma"/>
          <w:lang w:val="es-ES" w:eastAsia="es-ES"/>
        </w:rPr>
        <w:t xml:space="preserve">asume el valor de 0,25. </w:t>
      </w:r>
    </w:p>
    <w:p w:rsidR="000B3226" w:rsidRPr="00C0052E" w:rsidRDefault="000B3226" w:rsidP="000B3226">
      <w:pPr>
        <w:pStyle w:val="NormalWeb"/>
        <w:ind w:left="360"/>
        <w:jc w:val="both"/>
        <w:rPr>
          <w:rFonts w:ascii="Tahoma" w:hAnsi="Tahoma" w:cs="Tahoma"/>
          <w:lang w:val="es-ES" w:eastAsia="es-ES"/>
        </w:rPr>
      </w:pPr>
      <w:r>
        <w:rPr>
          <w:rFonts w:ascii="Tahoma" w:hAnsi="Tahoma" w:cs="Tahoma"/>
          <w:lang w:val="es-ES" w:eastAsia="es-ES"/>
        </w:rPr>
        <w:t>Estando a</w:t>
      </w:r>
      <w:r w:rsidRPr="00E963DD">
        <w:rPr>
          <w:rFonts w:ascii="Tahoma" w:hAnsi="Tahoma" w:cs="Tahoma"/>
          <w:lang w:val="es-ES" w:eastAsia="es-ES"/>
        </w:rPr>
        <w:t xml:space="preserve"> dichos valores procedemos a calcular:</w:t>
      </w:r>
    </w:p>
    <w:p w:rsidR="000B3226" w:rsidRPr="00C0052E" w:rsidRDefault="000B3226" w:rsidP="000B3226">
      <w:pPr>
        <w:rPr>
          <w:rFonts w:ascii="Tahoma" w:hAnsi="Tahoma" w:cs="Tahoma"/>
          <w:sz w:val="32"/>
          <w:szCs w:val="32"/>
        </w:rPr>
      </w:pPr>
      <m:oMathPara>
        <m:oMath>
          <m:r>
            <w:rPr>
              <w:rFonts w:ascii="Cambria Math" w:eastAsia="Times New Roman" w:hAnsi="Cambria Math" w:cs="Tahoma"/>
              <w:sz w:val="32"/>
              <w:szCs w:val="32"/>
              <w:lang w:val="es-ES" w:eastAsia="es-ES"/>
            </w:rPr>
            <m:t>RP=</m:t>
          </m:r>
          <m:d>
            <m:dPr>
              <m:ctrlPr>
                <w:rPr>
                  <w:rFonts w:ascii="Cambria Math" w:eastAsia="Times New Roman" w:hAnsi="Cambria Math" w:cs="Tahoma"/>
                  <w:i/>
                  <w:sz w:val="32"/>
                  <w:szCs w:val="32"/>
                  <w:lang w:val="es-ES" w:eastAsia="es-ES"/>
                </w:rPr>
              </m:ctrlPr>
            </m:dPr>
            <m:e>
              <m:f>
                <m:fPr>
                  <m:ctrlPr>
                    <w:rPr>
                      <w:rFonts w:ascii="Cambria Math" w:eastAsia="Times New Roman" w:hAnsi="Cambria Math" w:cs="Tahoma"/>
                      <w:i/>
                      <w:sz w:val="32"/>
                      <w:szCs w:val="32"/>
                      <w:lang w:val="es-ES" w:eastAsia="es-ES"/>
                    </w:rPr>
                  </m:ctrlPr>
                </m:fPr>
                <m:num>
                  <m:r>
                    <w:rPr>
                      <w:rFonts w:ascii="Cambria Math" w:eastAsia="Times New Roman" w:hAnsi="Cambria Math" w:cs="Tahoma"/>
                      <w:sz w:val="32"/>
                      <w:szCs w:val="32"/>
                      <w:lang w:val="es-ES" w:eastAsia="es-ES"/>
                    </w:rPr>
                    <m:t>600,000</m:t>
                  </m:r>
                </m:num>
                <m:den>
                  <m:r>
                    <w:rPr>
                      <w:rFonts w:ascii="Cambria Math" w:eastAsia="Times New Roman" w:hAnsi="Cambria Math" w:cs="Tahoma"/>
                      <w:sz w:val="32"/>
                      <w:szCs w:val="32"/>
                      <w:lang w:val="es-ES" w:eastAsia="es-ES"/>
                    </w:rPr>
                    <m:t>0,25</m:t>
                  </m:r>
                </m:den>
              </m:f>
            </m:e>
          </m:d>
          <m:r>
            <w:rPr>
              <w:rFonts w:ascii="Cambria Math" w:eastAsia="Times New Roman" w:hAnsi="Cambria Math" w:cs="Tahoma"/>
              <w:sz w:val="32"/>
              <w:szCs w:val="32"/>
              <w:lang w:val="es-ES" w:eastAsia="es-ES"/>
            </w:rPr>
            <m:t>=2,300.000 millones</m:t>
          </m:r>
        </m:oMath>
      </m:oMathPara>
    </w:p>
    <w:p w:rsidR="000B3226" w:rsidRPr="009767B6" w:rsidRDefault="000B3226" w:rsidP="000B3226">
      <w:pPr>
        <w:pStyle w:val="NormalWeb"/>
        <w:ind w:left="360"/>
        <w:jc w:val="both"/>
        <w:rPr>
          <w:rFonts w:ascii="Tahoma" w:hAnsi="Tahoma" w:cs="Tahoma"/>
          <w:b/>
          <w:lang w:val="es-ES" w:eastAsia="es-ES"/>
        </w:rPr>
      </w:pPr>
      <w:r w:rsidRPr="009767B6">
        <w:rPr>
          <w:rFonts w:ascii="Tahoma" w:hAnsi="Tahoma" w:cs="Tahoma"/>
          <w:b/>
          <w:lang w:val="es-ES" w:eastAsia="es-ES"/>
        </w:rPr>
        <w:t>Observaciones:</w:t>
      </w:r>
    </w:p>
    <w:p w:rsidR="000B3226" w:rsidRPr="00E963DD" w:rsidRDefault="000B3226" w:rsidP="000B3226">
      <w:pPr>
        <w:pStyle w:val="NormalWeb"/>
        <w:ind w:left="360"/>
        <w:jc w:val="both"/>
        <w:rPr>
          <w:rFonts w:ascii="Tahoma" w:hAnsi="Tahoma" w:cs="Tahoma"/>
          <w:lang w:val="es-ES" w:eastAsia="es-ES"/>
        </w:rPr>
      </w:pPr>
      <w:r w:rsidRPr="00E963DD">
        <w:rPr>
          <w:rFonts w:ascii="Tahoma" w:hAnsi="Tahoma" w:cs="Tahoma"/>
          <w:lang w:val="es-ES" w:eastAsia="es-ES"/>
        </w:rPr>
        <w:t xml:space="preserve">Cuando se considera 0,25 como probabilidad </w:t>
      </w:r>
      <w:r w:rsidRPr="009767B6">
        <w:rPr>
          <w:rFonts w:ascii="Tahoma" w:hAnsi="Tahoma" w:cs="Tahoma"/>
          <w:b/>
          <w:lang w:val="es-ES" w:eastAsia="es-ES"/>
        </w:rPr>
        <w:t>detección, enjuiciamiento y sanción</w:t>
      </w:r>
      <w:r>
        <w:rPr>
          <w:rFonts w:ascii="Tahoma" w:hAnsi="Tahoma" w:cs="Tahoma"/>
          <w:lang w:val="es-ES" w:eastAsia="es-ES"/>
        </w:rPr>
        <w:t>,</w:t>
      </w:r>
      <w:r w:rsidRPr="00E963DD">
        <w:rPr>
          <w:rFonts w:ascii="Tahoma" w:hAnsi="Tahoma" w:cs="Tahoma"/>
          <w:lang w:val="es-ES" w:eastAsia="es-ES"/>
        </w:rPr>
        <w:t xml:space="preserve"> el beneficio ilícito se cuadruplica. </w:t>
      </w:r>
    </w:p>
    <w:p w:rsidR="000B3226" w:rsidRDefault="000B3226" w:rsidP="000B3226">
      <w:pPr>
        <w:pStyle w:val="NormalWeb"/>
        <w:ind w:left="360"/>
        <w:jc w:val="both"/>
        <w:rPr>
          <w:rFonts w:ascii="Tahoma" w:hAnsi="Tahoma" w:cs="Tahoma"/>
          <w:lang w:val="es-ES" w:eastAsia="es-ES"/>
        </w:rPr>
      </w:pPr>
      <w:r>
        <w:rPr>
          <w:rFonts w:ascii="Tahoma" w:hAnsi="Tahoma" w:cs="Tahoma"/>
          <w:lang w:val="es-ES" w:eastAsia="es-ES"/>
        </w:rPr>
        <w:t>De otro lado, c</w:t>
      </w:r>
      <w:r w:rsidRPr="00E963DD">
        <w:rPr>
          <w:rFonts w:ascii="Tahoma" w:hAnsi="Tahoma" w:cs="Tahoma"/>
          <w:lang w:val="es-ES" w:eastAsia="es-ES"/>
        </w:rPr>
        <w:t xml:space="preserve">uando se considera 0,5 como probabilidad </w:t>
      </w:r>
      <w:r w:rsidRPr="009767B6">
        <w:rPr>
          <w:rFonts w:ascii="Tahoma" w:hAnsi="Tahoma" w:cs="Tahoma"/>
          <w:b/>
          <w:lang w:val="es-ES" w:eastAsia="es-ES"/>
        </w:rPr>
        <w:t>detección, enjuiciamiento y sanción</w:t>
      </w:r>
      <w:r w:rsidRPr="00E963DD">
        <w:rPr>
          <w:rFonts w:ascii="Tahoma" w:hAnsi="Tahoma" w:cs="Tahoma"/>
          <w:lang w:val="es-ES" w:eastAsia="es-ES"/>
        </w:rPr>
        <w:t xml:space="preserve"> el beneficio ilícito solo se duplica. </w:t>
      </w:r>
    </w:p>
    <w:p w:rsidR="000B3226" w:rsidRDefault="000B3226" w:rsidP="00FD04AC">
      <w:pPr>
        <w:pStyle w:val="NormalWeb"/>
        <w:numPr>
          <w:ilvl w:val="0"/>
          <w:numId w:val="1"/>
        </w:numPr>
        <w:jc w:val="both"/>
        <w:rPr>
          <w:rFonts w:ascii="Tahoma" w:hAnsi="Tahoma" w:cs="Tahoma"/>
          <w:b/>
        </w:rPr>
      </w:pPr>
      <w:r w:rsidRPr="00E963DD">
        <w:rPr>
          <w:rFonts w:ascii="Tahoma" w:hAnsi="Tahoma" w:cs="Tahoma"/>
          <w:b/>
        </w:rPr>
        <w:t>CONCLUSIONES Y RECOMEN</w:t>
      </w:r>
      <w:r>
        <w:rPr>
          <w:rFonts w:ascii="Tahoma" w:hAnsi="Tahoma" w:cs="Tahoma"/>
          <w:b/>
        </w:rPr>
        <w:t>D</w:t>
      </w:r>
      <w:r w:rsidRPr="00E963DD">
        <w:rPr>
          <w:rFonts w:ascii="Tahoma" w:hAnsi="Tahoma" w:cs="Tahoma"/>
          <w:b/>
        </w:rPr>
        <w:t>ACIONES:</w:t>
      </w:r>
    </w:p>
    <w:p w:rsidR="00FD04AC" w:rsidRPr="00FD04AC" w:rsidRDefault="00FD04AC" w:rsidP="00FD04AC">
      <w:pPr>
        <w:pStyle w:val="NormalWeb"/>
        <w:ind w:left="360"/>
        <w:jc w:val="both"/>
        <w:rPr>
          <w:rFonts w:ascii="Tahoma" w:hAnsi="Tahoma" w:cs="Tahoma"/>
          <w:b/>
        </w:rPr>
      </w:pPr>
    </w:p>
    <w:p w:rsidR="000B3226" w:rsidRPr="006272C2" w:rsidRDefault="000B3226" w:rsidP="000B3226">
      <w:pPr>
        <w:pStyle w:val="NormalWeb"/>
        <w:numPr>
          <w:ilvl w:val="1"/>
          <w:numId w:val="1"/>
        </w:numPr>
        <w:spacing w:before="0" w:beforeAutospacing="0" w:after="0" w:afterAutospacing="0" w:line="276" w:lineRule="auto"/>
        <w:ind w:left="993" w:hanging="633"/>
        <w:jc w:val="both"/>
        <w:rPr>
          <w:rFonts w:ascii="Tahoma" w:hAnsi="Tahoma" w:cs="Tahoma"/>
        </w:rPr>
      </w:pPr>
      <w:r w:rsidRPr="00E963DD">
        <w:rPr>
          <w:rFonts w:ascii="Tahoma" w:hAnsi="Tahoma" w:cs="Tahoma"/>
          <w:lang w:val="es-ES"/>
        </w:rPr>
        <w:t>La reparación civil,</w:t>
      </w:r>
      <w:r>
        <w:rPr>
          <w:rFonts w:ascii="Tahoma" w:hAnsi="Tahoma" w:cs="Tahoma"/>
          <w:lang w:val="es-ES"/>
        </w:rPr>
        <w:t xml:space="preserve"> conforme a la doctrina citada,</w:t>
      </w:r>
      <w:r w:rsidRPr="00E963DD">
        <w:rPr>
          <w:rFonts w:ascii="Tahoma" w:hAnsi="Tahoma" w:cs="Tahoma"/>
          <w:lang w:val="es-ES"/>
        </w:rPr>
        <w:t xml:space="preserve"> </w:t>
      </w:r>
      <w:r>
        <w:rPr>
          <w:rFonts w:ascii="Tahoma" w:hAnsi="Tahoma" w:cs="Tahoma"/>
          <w:lang w:val="es-ES"/>
        </w:rPr>
        <w:t>tiene una naturaleza de sanción, por ende, su</w:t>
      </w:r>
      <w:r w:rsidRPr="00E963DD">
        <w:rPr>
          <w:rFonts w:ascii="Tahoma" w:hAnsi="Tahoma" w:cs="Tahoma"/>
          <w:lang w:val="es-ES"/>
        </w:rPr>
        <w:t xml:space="preserve"> imposición debe tener un efecto disuasivo</w:t>
      </w:r>
      <w:r w:rsidR="00FD04AC">
        <w:rPr>
          <w:rFonts w:ascii="Tahoma" w:hAnsi="Tahoma" w:cs="Tahoma"/>
          <w:lang w:val="es-ES"/>
        </w:rPr>
        <w:t xml:space="preserve"> y represivo, es decir, la reparación civil a favor del Estado no debe estar determinada solamente por el monto (ya sea multiplicado por dos, tres o más veces) de las coimas o sobornos pagados a los funcionarios. </w:t>
      </w:r>
    </w:p>
    <w:p w:rsidR="000B3226" w:rsidRPr="006272C2" w:rsidRDefault="000B3226" w:rsidP="000B3226">
      <w:pPr>
        <w:pStyle w:val="NormalWeb"/>
        <w:spacing w:before="0" w:beforeAutospacing="0" w:after="0" w:afterAutospacing="0" w:line="276" w:lineRule="auto"/>
        <w:ind w:left="993"/>
        <w:jc w:val="both"/>
        <w:rPr>
          <w:rFonts w:ascii="Tahoma" w:hAnsi="Tahoma" w:cs="Tahoma"/>
        </w:rPr>
      </w:pPr>
    </w:p>
    <w:p w:rsidR="000B3226" w:rsidRDefault="000B3226" w:rsidP="000B3226">
      <w:pPr>
        <w:pStyle w:val="NormalWeb"/>
        <w:numPr>
          <w:ilvl w:val="1"/>
          <w:numId w:val="1"/>
        </w:numPr>
        <w:spacing w:before="0" w:beforeAutospacing="0" w:after="0" w:afterAutospacing="0" w:line="276" w:lineRule="auto"/>
        <w:ind w:left="993" w:hanging="633"/>
        <w:jc w:val="both"/>
        <w:rPr>
          <w:rFonts w:ascii="Tahoma" w:hAnsi="Tahoma" w:cs="Tahoma"/>
        </w:rPr>
      </w:pPr>
      <w:r>
        <w:rPr>
          <w:rFonts w:ascii="Tahoma" w:hAnsi="Tahoma" w:cs="Tahoma"/>
          <w:lang w:val="es-ES"/>
        </w:rPr>
        <w:t>R</w:t>
      </w:r>
      <w:r w:rsidRPr="00E963DD">
        <w:rPr>
          <w:rFonts w:ascii="Tahoma" w:hAnsi="Tahoma" w:cs="Tahoma"/>
          <w:lang w:val="es-ES"/>
        </w:rPr>
        <w:t xml:space="preserve">esulta viable </w:t>
      </w:r>
      <w:r>
        <w:rPr>
          <w:rFonts w:ascii="Tahoma" w:hAnsi="Tahoma" w:cs="Tahoma"/>
          <w:lang w:val="es-ES"/>
        </w:rPr>
        <w:t>la aplicación</w:t>
      </w:r>
      <w:r w:rsidRPr="00E963DD">
        <w:rPr>
          <w:rFonts w:ascii="Tahoma" w:hAnsi="Tahoma" w:cs="Tahoma"/>
          <w:lang w:val="es-ES"/>
        </w:rPr>
        <w:t xml:space="preserve"> </w:t>
      </w:r>
      <w:r>
        <w:rPr>
          <w:rFonts w:ascii="Tahoma" w:hAnsi="Tahoma" w:cs="Tahoma"/>
          <w:lang w:val="es-ES"/>
        </w:rPr>
        <w:t xml:space="preserve">de </w:t>
      </w:r>
      <w:r w:rsidRPr="00E963DD">
        <w:rPr>
          <w:rFonts w:ascii="Tahoma" w:hAnsi="Tahoma" w:cs="Tahoma"/>
          <w:lang w:val="es-ES"/>
        </w:rPr>
        <w:t xml:space="preserve">la presente metodología, basada en criterios económicos, </w:t>
      </w:r>
      <w:r>
        <w:rPr>
          <w:rFonts w:ascii="Tahoma" w:hAnsi="Tahoma" w:cs="Tahoma"/>
          <w:lang w:val="es-ES"/>
        </w:rPr>
        <w:t>a</w:t>
      </w:r>
      <w:r w:rsidRPr="00E963DD">
        <w:rPr>
          <w:rFonts w:ascii="Tahoma" w:hAnsi="Tahoma" w:cs="Tahoma"/>
          <w:lang w:val="es-ES"/>
        </w:rPr>
        <w:t xml:space="preserve"> </w:t>
      </w:r>
      <w:r>
        <w:rPr>
          <w:rFonts w:ascii="Tahoma" w:hAnsi="Tahoma" w:cs="Tahoma"/>
          <w:lang w:val="es-ES"/>
        </w:rPr>
        <w:t>la cuantificación de la reparación civil</w:t>
      </w:r>
      <w:r w:rsidRPr="00E963DD">
        <w:rPr>
          <w:rFonts w:ascii="Tahoma" w:hAnsi="Tahoma" w:cs="Tahoma"/>
          <w:lang w:val="es-ES"/>
        </w:rPr>
        <w:t xml:space="preserve"> en el marco de los p</w:t>
      </w:r>
      <w:r>
        <w:rPr>
          <w:rFonts w:ascii="Tahoma" w:hAnsi="Tahoma" w:cs="Tahoma"/>
          <w:lang w:val="es-ES"/>
        </w:rPr>
        <w:t>rocesos por colaboración eficaz vinculados a los proyectos citados en los  antecedentes del presente</w:t>
      </w:r>
      <w:r w:rsidR="00FD04AC">
        <w:rPr>
          <w:rFonts w:ascii="Tahoma" w:hAnsi="Tahoma" w:cs="Tahoma"/>
          <w:lang w:val="es-ES"/>
        </w:rPr>
        <w:t xml:space="preserve"> documento, toda vez que la normativa vigente aplicable a este tipo de acuerdos </w:t>
      </w:r>
      <w:r>
        <w:rPr>
          <w:rFonts w:ascii="Tahoma" w:hAnsi="Tahoma" w:cs="Tahoma"/>
          <w:lang w:val="es-ES"/>
        </w:rPr>
        <w:t>no suministra pautas</w:t>
      </w:r>
      <w:r w:rsidR="00FD04AC">
        <w:rPr>
          <w:rFonts w:ascii="Tahoma" w:hAnsi="Tahoma" w:cs="Tahoma"/>
          <w:lang w:val="es-ES"/>
        </w:rPr>
        <w:t xml:space="preserve"> ni metodologías</w:t>
      </w:r>
      <w:r>
        <w:rPr>
          <w:rFonts w:ascii="Tahoma" w:hAnsi="Tahoma" w:cs="Tahoma"/>
          <w:lang w:val="es-ES"/>
        </w:rPr>
        <w:t xml:space="preserve"> al respecto.</w:t>
      </w:r>
    </w:p>
    <w:p w:rsidR="000B3226" w:rsidRPr="00C94C4B" w:rsidRDefault="000B3226" w:rsidP="000B3226">
      <w:pPr>
        <w:pStyle w:val="NormalWeb"/>
        <w:spacing w:before="0" w:beforeAutospacing="0" w:after="0" w:afterAutospacing="0" w:line="276" w:lineRule="auto"/>
        <w:ind w:left="993"/>
        <w:jc w:val="both"/>
        <w:rPr>
          <w:rFonts w:ascii="Tahoma" w:hAnsi="Tahoma" w:cs="Tahoma"/>
        </w:rPr>
      </w:pPr>
    </w:p>
    <w:p w:rsidR="008403A2" w:rsidRDefault="000B3226" w:rsidP="0017639B">
      <w:pPr>
        <w:pStyle w:val="NormalWeb"/>
        <w:numPr>
          <w:ilvl w:val="1"/>
          <w:numId w:val="1"/>
        </w:numPr>
        <w:spacing w:before="0" w:beforeAutospacing="0" w:after="0" w:afterAutospacing="0" w:line="276" w:lineRule="auto"/>
        <w:ind w:left="993" w:hanging="633"/>
        <w:jc w:val="both"/>
      </w:pPr>
      <w:r w:rsidRPr="00477C4A">
        <w:rPr>
          <w:rFonts w:ascii="Tahoma" w:hAnsi="Tahoma" w:cs="Tahoma"/>
          <w:lang w:val="es-ES"/>
        </w:rPr>
        <w:t>Finalmente, con la aplicación de la metodología propuesta se priva a los responsables de los montos indebidamente percibidos y se castiga su comportamiento probabilístico, toda vez que en un escenario de racionalidad (en el cual actúan los agentes económicos), cuando un sujeto decide vulnerar las normas no sólo evalúa los beneficios que obtendrá a consecuencia de su actuar ilegal, sino también la probabilidad de que eventualmente sea detectado, enjuiciados y condenado.</w:t>
      </w:r>
    </w:p>
    <w:sectPr w:rsidR="008403A2" w:rsidSect="000B3226">
      <w:footerReference w:type="default" r:id="rId7"/>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D7D" w:rsidRDefault="00871D7D" w:rsidP="000B3226">
      <w:pPr>
        <w:spacing w:after="0" w:line="240" w:lineRule="auto"/>
      </w:pPr>
      <w:r>
        <w:separator/>
      </w:r>
    </w:p>
  </w:endnote>
  <w:endnote w:type="continuationSeparator" w:id="0">
    <w:p w:rsidR="00871D7D" w:rsidRDefault="00871D7D" w:rsidP="000B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675" w:rsidRDefault="00C14591">
    <w:pPr>
      <w:pStyle w:val="Piedepgina"/>
    </w:pPr>
    <w:proofErr w:type="spellStart"/>
    <w:r>
      <w:t>Cristhiam</w:t>
    </w:r>
    <w:proofErr w:type="spellEnd"/>
    <w:r>
      <w:t xml:space="preserve"> León Orosco</w:t>
    </w:r>
  </w:p>
  <w:p w:rsidR="00095675" w:rsidRDefault="000956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D7D" w:rsidRDefault="00871D7D" w:rsidP="000B3226">
      <w:pPr>
        <w:spacing w:after="0" w:line="240" w:lineRule="auto"/>
      </w:pPr>
      <w:r>
        <w:separator/>
      </w:r>
    </w:p>
  </w:footnote>
  <w:footnote w:type="continuationSeparator" w:id="0">
    <w:p w:rsidR="00871D7D" w:rsidRDefault="00871D7D" w:rsidP="000B3226">
      <w:pPr>
        <w:spacing w:after="0" w:line="240" w:lineRule="auto"/>
      </w:pPr>
      <w:r>
        <w:continuationSeparator/>
      </w:r>
    </w:p>
  </w:footnote>
  <w:footnote w:id="1">
    <w:p w:rsidR="000B3226" w:rsidRPr="00CF2E45" w:rsidRDefault="000B3226" w:rsidP="000B3226">
      <w:pPr>
        <w:pStyle w:val="Textonotapie"/>
        <w:rPr>
          <w:rFonts w:ascii="Tahoma" w:hAnsi="Tahoma" w:cs="Tahoma"/>
        </w:rPr>
      </w:pPr>
      <w:r w:rsidRPr="00CF2E45">
        <w:rPr>
          <w:rStyle w:val="Refdenotaalpie"/>
          <w:rFonts w:ascii="Tahoma" w:hAnsi="Tahoma" w:cs="Tahoma"/>
        </w:rPr>
        <w:footnoteRef/>
      </w:r>
      <w:r w:rsidRPr="00CF2E45">
        <w:rPr>
          <w:rFonts w:ascii="Tahoma" w:hAnsi="Tahoma" w:cs="Tahoma"/>
        </w:rPr>
        <w:t xml:space="preserve"> Suscrito el 16 de marzo de 2017</w:t>
      </w:r>
    </w:p>
  </w:footnote>
  <w:footnote w:id="2">
    <w:p w:rsidR="000B3226" w:rsidRDefault="000B3226" w:rsidP="000B3226">
      <w:pPr>
        <w:pStyle w:val="Textonotapie"/>
        <w:jc w:val="both"/>
        <w:rPr>
          <w:rFonts w:ascii="Tahoma" w:hAnsi="Tahoma" w:cs="Tahoma"/>
        </w:rPr>
      </w:pPr>
      <w:r w:rsidRPr="00CF2E45">
        <w:rPr>
          <w:rStyle w:val="Refdenotaalpie"/>
          <w:rFonts w:ascii="Tahoma" w:hAnsi="Tahoma" w:cs="Tahoma"/>
        </w:rPr>
        <w:footnoteRef/>
      </w:r>
      <w:r w:rsidRPr="00CF2E45">
        <w:rPr>
          <w:rFonts w:ascii="Tahoma" w:hAnsi="Tahoma" w:cs="Tahoma"/>
        </w:rPr>
        <w:t xml:space="preserve"> BECKER, Gary. </w:t>
      </w:r>
      <w:r w:rsidRPr="00CF2E45">
        <w:rPr>
          <w:rFonts w:ascii="Tahoma" w:hAnsi="Tahoma" w:cs="Tahoma"/>
          <w:i/>
        </w:rPr>
        <w:t>Crimen y Castigo: un enfoque económico</w:t>
      </w:r>
      <w:r w:rsidRPr="00CF2E45">
        <w:rPr>
          <w:rFonts w:ascii="Tahoma" w:hAnsi="Tahoma" w:cs="Tahoma"/>
        </w:rPr>
        <w:t xml:space="preserve">. En: Derecho y economía: una revisión de la literatura. Andrés </w:t>
      </w:r>
      <w:proofErr w:type="spellStart"/>
      <w:r w:rsidRPr="00CF2E45">
        <w:rPr>
          <w:rFonts w:ascii="Tahoma" w:hAnsi="Tahoma" w:cs="Tahoma"/>
        </w:rPr>
        <w:t>Roemer</w:t>
      </w:r>
      <w:proofErr w:type="spellEnd"/>
      <w:r w:rsidRPr="00CF2E45">
        <w:rPr>
          <w:rFonts w:ascii="Tahoma" w:hAnsi="Tahoma" w:cs="Tahoma"/>
        </w:rPr>
        <w:t xml:space="preserve"> (compilador), Fondo de Cultura Económica, México, primera reimpresión 2002, p. 392.  </w:t>
      </w:r>
    </w:p>
    <w:p w:rsidR="000B3226" w:rsidRPr="00CF2E45" w:rsidRDefault="000B3226" w:rsidP="000B3226">
      <w:pPr>
        <w:pStyle w:val="Textonotapie"/>
        <w:jc w:val="both"/>
        <w:rPr>
          <w:rFonts w:ascii="Tahoma" w:hAnsi="Tahoma" w:cs="Tahoma"/>
        </w:rPr>
      </w:pPr>
    </w:p>
  </w:footnote>
  <w:footnote w:id="3">
    <w:p w:rsidR="000B3226" w:rsidRPr="00CF2E45" w:rsidRDefault="000B3226" w:rsidP="000B3226">
      <w:pPr>
        <w:pStyle w:val="Textonotapie"/>
        <w:jc w:val="both"/>
        <w:rPr>
          <w:rFonts w:ascii="Tahoma" w:hAnsi="Tahoma" w:cs="Tahoma"/>
        </w:rPr>
      </w:pPr>
      <w:r w:rsidRPr="00CF2E45">
        <w:rPr>
          <w:rStyle w:val="Refdenotaalpie"/>
          <w:rFonts w:ascii="Tahoma" w:hAnsi="Tahoma" w:cs="Tahoma"/>
        </w:rPr>
        <w:footnoteRef/>
      </w:r>
      <w:r w:rsidRPr="00CF2E45">
        <w:rPr>
          <w:rFonts w:ascii="Tahoma" w:hAnsi="Tahoma" w:cs="Tahoma"/>
        </w:rPr>
        <w:t xml:space="preserve"> Cfr. BRAMONT-ARIAS TORRES, Luis Miguel. </w:t>
      </w:r>
      <w:r w:rsidRPr="00CF2E45">
        <w:rPr>
          <w:rFonts w:ascii="Tahoma" w:hAnsi="Tahoma" w:cs="Tahoma"/>
          <w:i/>
        </w:rPr>
        <w:t xml:space="preserve">Manual de derecho penal: parte general. </w:t>
      </w:r>
      <w:r w:rsidRPr="00CF2E45">
        <w:rPr>
          <w:rFonts w:ascii="Tahoma" w:hAnsi="Tahoma" w:cs="Tahoma"/>
        </w:rPr>
        <w:t>Tercera edición</w:t>
      </w:r>
      <w:r w:rsidRPr="00CF2E45">
        <w:rPr>
          <w:rFonts w:ascii="Tahoma" w:hAnsi="Tahoma" w:cs="Tahoma"/>
          <w:i/>
        </w:rPr>
        <w:t xml:space="preserve">. </w:t>
      </w:r>
      <w:r w:rsidRPr="004600FA">
        <w:rPr>
          <w:rFonts w:ascii="Tahoma" w:hAnsi="Tahoma" w:cs="Tahoma"/>
        </w:rPr>
        <w:t>Lima: EDDILI, 2005, p.500.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45820"/>
    <w:multiLevelType w:val="hybridMultilevel"/>
    <w:tmpl w:val="2778A010"/>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577741CE"/>
    <w:multiLevelType w:val="hybridMultilevel"/>
    <w:tmpl w:val="94608BE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7316523D"/>
    <w:multiLevelType w:val="multilevel"/>
    <w:tmpl w:val="60D09A44"/>
    <w:lvl w:ilvl="0">
      <w:start w:val="1"/>
      <w:numFmt w:val="upperRoman"/>
      <w:lvlText w:val="%1."/>
      <w:lvlJc w:val="center"/>
      <w:pPr>
        <w:ind w:left="360" w:hanging="360"/>
      </w:pPr>
      <w:rPr>
        <w:rFonts w:hint="default"/>
      </w:rPr>
    </w:lvl>
    <w:lvl w:ilvl="1">
      <w:start w:val="1"/>
      <w:numFmt w:val="decimal"/>
      <w:isLgl/>
      <w:lvlText w:val="%1.%2."/>
      <w:lvlJc w:val="left"/>
      <w:pPr>
        <w:ind w:left="750" w:hanging="390"/>
      </w:pPr>
      <w:rPr>
        <w:rFonts w:ascii="Arial" w:hAnsi="Arial" w:cs="Arial" w:hint="default"/>
      </w:rPr>
    </w:lvl>
    <w:lvl w:ilvl="2">
      <w:start w:val="1"/>
      <w:numFmt w:val="decimal"/>
      <w:isLgl/>
      <w:lvlText w:val="%1.%2.%3."/>
      <w:lvlJc w:val="left"/>
      <w:pPr>
        <w:ind w:left="1440" w:hanging="720"/>
      </w:pPr>
      <w:rPr>
        <w:rFonts w:ascii="Arial" w:hAnsi="Arial" w:cs="Arial" w:hint="default"/>
      </w:rPr>
    </w:lvl>
    <w:lvl w:ilvl="3">
      <w:start w:val="1"/>
      <w:numFmt w:val="decimal"/>
      <w:isLgl/>
      <w:lvlText w:val="%1.%2.%3.%4."/>
      <w:lvlJc w:val="left"/>
      <w:pPr>
        <w:ind w:left="1800" w:hanging="720"/>
      </w:pPr>
      <w:rPr>
        <w:rFonts w:ascii="Arial" w:hAnsi="Arial" w:cs="Arial" w:hint="default"/>
      </w:rPr>
    </w:lvl>
    <w:lvl w:ilvl="4">
      <w:start w:val="1"/>
      <w:numFmt w:val="decimal"/>
      <w:isLgl/>
      <w:lvlText w:val="%1.%2.%3.%4.%5."/>
      <w:lvlJc w:val="left"/>
      <w:pPr>
        <w:ind w:left="2520" w:hanging="1080"/>
      </w:pPr>
      <w:rPr>
        <w:rFonts w:ascii="Arial" w:hAnsi="Arial" w:cs="Arial" w:hint="default"/>
      </w:rPr>
    </w:lvl>
    <w:lvl w:ilvl="5">
      <w:start w:val="1"/>
      <w:numFmt w:val="decimal"/>
      <w:isLgl/>
      <w:lvlText w:val="%1.%2.%3.%4.%5.%6."/>
      <w:lvlJc w:val="left"/>
      <w:pPr>
        <w:ind w:left="2880" w:hanging="1080"/>
      </w:pPr>
      <w:rPr>
        <w:rFonts w:ascii="Arial" w:hAnsi="Arial" w:cs="Arial" w:hint="default"/>
      </w:rPr>
    </w:lvl>
    <w:lvl w:ilvl="6">
      <w:start w:val="1"/>
      <w:numFmt w:val="decimal"/>
      <w:isLgl/>
      <w:lvlText w:val="%1.%2.%3.%4.%5.%6.%7."/>
      <w:lvlJc w:val="left"/>
      <w:pPr>
        <w:ind w:left="3600" w:hanging="1440"/>
      </w:pPr>
      <w:rPr>
        <w:rFonts w:ascii="Arial" w:hAnsi="Arial" w:cs="Arial" w:hint="default"/>
      </w:rPr>
    </w:lvl>
    <w:lvl w:ilvl="7">
      <w:start w:val="1"/>
      <w:numFmt w:val="decimal"/>
      <w:isLgl/>
      <w:lvlText w:val="%1.%2.%3.%4.%5.%6.%7.%8."/>
      <w:lvlJc w:val="left"/>
      <w:pPr>
        <w:ind w:left="3960" w:hanging="1440"/>
      </w:pPr>
      <w:rPr>
        <w:rFonts w:ascii="Arial" w:hAnsi="Arial" w:cs="Arial" w:hint="default"/>
      </w:rPr>
    </w:lvl>
    <w:lvl w:ilvl="8">
      <w:start w:val="1"/>
      <w:numFmt w:val="decimal"/>
      <w:isLgl/>
      <w:lvlText w:val="%1.%2.%3.%4.%5.%6.%7.%8.%9."/>
      <w:lvlJc w:val="left"/>
      <w:pPr>
        <w:ind w:left="4680" w:hanging="1800"/>
      </w:pPr>
      <w:rPr>
        <w:rFonts w:ascii="Arial" w:hAnsi="Arial" w:cs="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26"/>
    <w:rsid w:val="0008542B"/>
    <w:rsid w:val="00095675"/>
    <w:rsid w:val="000B3226"/>
    <w:rsid w:val="002B74CC"/>
    <w:rsid w:val="002E53A7"/>
    <w:rsid w:val="00345827"/>
    <w:rsid w:val="003A5691"/>
    <w:rsid w:val="004469E6"/>
    <w:rsid w:val="00474FC3"/>
    <w:rsid w:val="00477C4A"/>
    <w:rsid w:val="0062169E"/>
    <w:rsid w:val="00710FC4"/>
    <w:rsid w:val="007F1D77"/>
    <w:rsid w:val="008403A2"/>
    <w:rsid w:val="00867B1C"/>
    <w:rsid w:val="00871D7D"/>
    <w:rsid w:val="00884DCB"/>
    <w:rsid w:val="00B92D11"/>
    <w:rsid w:val="00C14591"/>
    <w:rsid w:val="00C5134E"/>
    <w:rsid w:val="00CA6D6F"/>
    <w:rsid w:val="00E5713C"/>
    <w:rsid w:val="00FD04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AF9D"/>
  <w15:chartTrackingRefBased/>
  <w15:docId w15:val="{7526A798-A4D2-4F10-A173-A37A145A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22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B3226"/>
    <w:pPr>
      <w:spacing w:before="100" w:beforeAutospacing="1" w:after="100" w:afterAutospacing="1" w:line="240" w:lineRule="auto"/>
    </w:pPr>
    <w:rPr>
      <w:rFonts w:ascii="Times New Roman" w:eastAsia="Times New Roman" w:hAnsi="Times New Roman" w:cs="Times New Roman"/>
      <w:sz w:val="24"/>
      <w:szCs w:val="24"/>
      <w:lang w:eastAsia="es-PE"/>
    </w:rPr>
  </w:style>
  <w:style w:type="table" w:styleId="Tablaconcuadrcula">
    <w:name w:val="Table Grid"/>
    <w:basedOn w:val="Tablanormal"/>
    <w:uiPriority w:val="39"/>
    <w:rsid w:val="000B322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B322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3226"/>
    <w:rPr>
      <w:sz w:val="20"/>
      <w:szCs w:val="20"/>
    </w:rPr>
  </w:style>
  <w:style w:type="character" w:styleId="Refdenotaalpie">
    <w:name w:val="footnote reference"/>
    <w:basedOn w:val="Fuentedeprrafopredeter"/>
    <w:uiPriority w:val="99"/>
    <w:semiHidden/>
    <w:unhideWhenUsed/>
    <w:rsid w:val="000B3226"/>
    <w:rPr>
      <w:vertAlign w:val="superscript"/>
    </w:rPr>
  </w:style>
  <w:style w:type="paragraph" w:styleId="Prrafodelista">
    <w:name w:val="List Paragraph"/>
    <w:basedOn w:val="Normal"/>
    <w:uiPriority w:val="34"/>
    <w:qFormat/>
    <w:rsid w:val="000B3226"/>
    <w:pPr>
      <w:ind w:left="720"/>
      <w:contextualSpacing/>
    </w:pPr>
  </w:style>
  <w:style w:type="paragraph" w:styleId="Encabezado">
    <w:name w:val="header"/>
    <w:basedOn w:val="Normal"/>
    <w:link w:val="EncabezadoCar"/>
    <w:uiPriority w:val="99"/>
    <w:unhideWhenUsed/>
    <w:rsid w:val="000956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5675"/>
  </w:style>
  <w:style w:type="paragraph" w:styleId="Piedepgina">
    <w:name w:val="footer"/>
    <w:basedOn w:val="Normal"/>
    <w:link w:val="PiedepginaCar"/>
    <w:uiPriority w:val="99"/>
    <w:unhideWhenUsed/>
    <w:rsid w:val="000956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1731</Words>
  <Characters>9523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CELEO OROSCO</dc:creator>
  <cp:keywords/>
  <dc:description/>
  <cp:lastModifiedBy>Sub-Coordinador en Contrataciones</cp:lastModifiedBy>
  <cp:revision>5</cp:revision>
  <dcterms:created xsi:type="dcterms:W3CDTF">2018-02-01T19:46:00Z</dcterms:created>
  <dcterms:modified xsi:type="dcterms:W3CDTF">2018-02-01T19:50:00Z</dcterms:modified>
</cp:coreProperties>
</file>